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04E21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E04E21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E04E21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20 декабря 2025 г.</w:t>
      </w:r>
      <w:r>
        <w:rPr>
          <w:rStyle w:val="number"/>
          <w:color w:val="000000"/>
        </w:rPr>
        <w:t xml:space="preserve"> № 739</w:t>
      </w:r>
    </w:p>
    <w:p w:rsidR="00000000" w:rsidRDefault="00E04E21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Государственной программе «Устойчивое предпринимательство» на 2026–2030 годы</w:t>
      </w:r>
    </w:p>
    <w:p w:rsidR="00000000" w:rsidRDefault="00E04E21">
      <w:pPr>
        <w:pStyle w:val="preamble"/>
        <w:rPr>
          <w:color w:val="000000"/>
        </w:rPr>
      </w:pPr>
      <w:r>
        <w:rPr>
          <w:color w:val="000000"/>
        </w:rPr>
        <w:t>В целях обеспечения развития малого и среднего предпринимательства в Республике Беларусь и </w:t>
      </w:r>
      <w:r>
        <w:rPr>
          <w:color w:val="000000"/>
        </w:rPr>
        <w:t>создания благоприятных условий для его масштабирования Совет Министров Республики Беларусь ПОСТАНОВЛЯЕТ:</w:t>
      </w:r>
    </w:p>
    <w:p w:rsidR="00000000" w:rsidRDefault="00E04E21">
      <w:pPr>
        <w:pStyle w:val="point"/>
        <w:rPr>
          <w:color w:val="000000"/>
        </w:rPr>
      </w:pPr>
      <w:r>
        <w:rPr>
          <w:color w:val="000000"/>
        </w:rPr>
        <w:t>1. Утвердить Государственную программу «Устойчивое предпринимательство» на 2026–2030 годы (далее – Государственная программа) (прилагается).</w:t>
      </w:r>
    </w:p>
    <w:p w:rsidR="00000000" w:rsidRDefault="00E04E21">
      <w:pPr>
        <w:pStyle w:val="point"/>
        <w:rPr>
          <w:color w:val="000000"/>
        </w:rPr>
      </w:pPr>
      <w:r>
        <w:rPr>
          <w:color w:val="000000"/>
        </w:rPr>
        <w:t>2. Возложи</w:t>
      </w:r>
      <w:r>
        <w:rPr>
          <w:color w:val="000000"/>
        </w:rPr>
        <w:t>ть персональную ответственность за своевременную и качественную реализацию мероприятий Государственной программы, целевое и эффективное использование предусмотренных на их реализацию финансовых средств, своевременное представление соответствующей отчетност</w:t>
      </w:r>
      <w:r>
        <w:rPr>
          <w:color w:val="000000"/>
        </w:rPr>
        <w:t>и на председателей облисполкомов и Минского горисполкома, руководителей государственных органов и иных государственных организаций, являющихся заказчиками Государственной программы.</w:t>
      </w:r>
    </w:p>
    <w:p w:rsidR="00000000" w:rsidRDefault="00E04E21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с 1 января 2026 г.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04E21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</w:t>
            </w:r>
            <w:r>
              <w:rPr>
                <w:rStyle w:val="post"/>
                <w:color w:val="000000"/>
              </w:rPr>
              <w:t>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04E21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А.Турчин</w:t>
            </w:r>
          </w:p>
        </w:tc>
      </w:tr>
    </w:tbl>
    <w:p w:rsidR="00000000" w:rsidRDefault="00E04E21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000000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E04E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E04E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20.12.2025 № 739</w:t>
            </w:r>
          </w:p>
        </w:tc>
      </w:tr>
    </w:tbl>
    <w:p w:rsidR="00000000" w:rsidRDefault="00E04E21">
      <w:pPr>
        <w:pStyle w:val="titleu"/>
        <w:rPr>
          <w:color w:val="000000"/>
        </w:rPr>
      </w:pPr>
      <w:bookmarkStart w:id="2" w:name="a2"/>
      <w:bookmarkEnd w:id="2"/>
      <w:r>
        <w:rPr>
          <w:color w:val="000000"/>
        </w:rPr>
        <w:t>ГОСУДАРСТВЕННАЯ ПРОГРАММА</w:t>
      </w:r>
      <w:r>
        <w:rPr>
          <w:color w:val="000000"/>
        </w:rPr>
        <w:br/>
        <w:t>«Устойчивое предпринимательство» на 2026–2030 годы</w:t>
      </w:r>
    </w:p>
    <w:p w:rsidR="00000000" w:rsidRDefault="00E04E21">
      <w:pPr>
        <w:pStyle w:val="chapter"/>
        <w:rPr>
          <w:color w:val="000000"/>
        </w:rPr>
      </w:pPr>
      <w:bookmarkStart w:id="3" w:name="a15"/>
      <w:bookmarkEnd w:id="3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Государственная программа разработана в соответствии с приоритетами социально-экономического развития, определенными в Национальной стратегии устойчивого развития Республики Беларусь до 2040 года, а также приоритетом «Сильные регионы – равномерное развитие</w:t>
      </w:r>
      <w:r>
        <w:rPr>
          <w:color w:val="000000"/>
        </w:rPr>
        <w:t xml:space="preserve"> регионов с соблюдением индивидуального подхода к территориям с учетом их потенциала, потребностей и самобытности» Программы социально-экономического развития Республики Беларусь на 2026–2030 годы и направлена на создание благоприятных условий для осуществ</w:t>
      </w:r>
      <w:r>
        <w:rPr>
          <w:color w:val="000000"/>
        </w:rPr>
        <w:t>ления предпринимательской деятельности и динамичного развития малого и среднего предпринимательства (далее – МСП).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lastRenderedPageBreak/>
        <w:t>Реализация Государственной программы будет способствовать достижению Целей устойчивого развития на период до 2030 года, содержащихся в резолю</w:t>
      </w:r>
      <w:r>
        <w:rPr>
          <w:color w:val="000000"/>
        </w:rPr>
        <w:t>ции Ассамблеи Организации Объединенных Наций от 25 сентября 2015 г. № 70/1 «Преобразование нашего мира: повестка дня в области устойчивого развития на период до 2030 года»: цель 8 «Содействие поступательному, всеохватному и устойчивому экономическому росту</w:t>
      </w:r>
      <w:r>
        <w:rPr>
          <w:color w:val="000000"/>
        </w:rPr>
        <w:t>, полной и производительной занятости и достойной работе для всех».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При разработке Государственной программы обеспечена преемственность направлений развития и поддержки МСП предыдущего пятилетия, предусмотренных Государственной</w:t>
      </w:r>
      <w:r>
        <w:rPr>
          <w:color w:val="000000"/>
        </w:rPr>
        <w:t xml:space="preserve"> </w:t>
      </w:r>
      <w:r>
        <w:rPr>
          <w:color w:val="000000"/>
        </w:rPr>
        <w:t xml:space="preserve">программой «Малое и среднее </w:t>
      </w:r>
      <w:r>
        <w:rPr>
          <w:color w:val="000000"/>
        </w:rPr>
        <w:t>предпринимательство» на 2021–2025 годы, утвержденной постановлением Совета Министров Республики Беларусь от 29 января 2021 г. № 56 (далее – Государственная программа – 2025).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Ресурсное обеспечение Государственной</w:t>
      </w:r>
      <w:r>
        <w:rPr>
          <w:color w:val="000000"/>
        </w:rPr>
        <w:t xml:space="preserve"> </w:t>
      </w:r>
      <w:r>
        <w:rPr>
          <w:color w:val="000000"/>
        </w:rPr>
        <w:t>программы – 2025 за четыре года составило 4</w:t>
      </w:r>
      <w:r>
        <w:rPr>
          <w:color w:val="000000"/>
        </w:rPr>
        <w:t>8,8 млрд. рублей при плане 27,8 млрд. рублей, освоение составило 175,7 процента.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Белорусским фондом финансовой поддержки предпринимателей (далее – БФФПП) за счет республиканского бюджета и собственных средств за четыре года реализации Государственной</w:t>
      </w:r>
      <w:r>
        <w:rPr>
          <w:color w:val="000000"/>
        </w:rPr>
        <w:t xml:space="preserve"> </w:t>
      </w:r>
      <w:r>
        <w:rPr>
          <w:color w:val="000000"/>
        </w:rPr>
        <w:t>прогр</w:t>
      </w:r>
      <w:r>
        <w:rPr>
          <w:color w:val="000000"/>
        </w:rPr>
        <w:t>аммы – 2025 профинансированы 167 проектов субъектов малого предпринимательства на сумму 36,3 млн. рублей.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 xml:space="preserve">Адресную государственную финансовую поддержку из местных бюджетов с 2021 по 2024 год получил 561 проект субъектов малого предпринимательства на общую </w:t>
      </w:r>
      <w:r>
        <w:rPr>
          <w:color w:val="000000"/>
        </w:rPr>
        <w:t>сумму 28,4 млн. рублей.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Кроме того, в рамках реализации Государственной</w:t>
      </w:r>
      <w:r>
        <w:rPr>
          <w:color w:val="000000"/>
        </w:rPr>
        <w:t xml:space="preserve"> </w:t>
      </w:r>
      <w:r>
        <w:rPr>
          <w:color w:val="000000"/>
        </w:rPr>
        <w:t xml:space="preserve">программы – 2025 оказывалось содействие субъектам инфраструктуры поддержки МСП посредством ресурсного и информационного обеспечения их деятельности. На данные цели из местных бюджетов </w:t>
      </w:r>
      <w:r>
        <w:rPr>
          <w:color w:val="000000"/>
        </w:rPr>
        <w:t>за 2021–2024 годы выделено 6,4 млн. рублей.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На 1 января 2025 г. в республике осуществляли деятельность 103 субъекта инфраструктуры поддержки МСП, в том числе 85 центров поддержки предпринимательства и 18 инкубаторов малого предпринимательства. 38 субъектов</w:t>
      </w:r>
      <w:r>
        <w:rPr>
          <w:color w:val="000000"/>
        </w:rPr>
        <w:t xml:space="preserve"> инфраструктуры поддержки МСП (35 центров и 3 инкубатора), или 36,9 процента от общего количества субъектов инфраструктуры поддержки МСП, находятся в малых и средних городских поселениях и сельской местности.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За период реализации Государственной</w:t>
      </w:r>
      <w:r>
        <w:rPr>
          <w:color w:val="000000"/>
        </w:rPr>
        <w:t xml:space="preserve"> </w:t>
      </w:r>
      <w:r>
        <w:rPr>
          <w:color w:val="000000"/>
        </w:rPr>
        <w:t>программы </w:t>
      </w:r>
      <w:r>
        <w:rPr>
          <w:color w:val="000000"/>
        </w:rPr>
        <w:t>– 2025: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услугами субъектов инфраструктуры поддержки МСП воспользовались 587,7 тыс. человек (центров – 529,8 тыс. человек, инкубаторов – 57,9 тыс. человек);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проведено 14 550 обучающих курсов и семинаров (центрами – 12 282 курса и семинара, инкубаторами – 22</w:t>
      </w:r>
      <w:r>
        <w:rPr>
          <w:color w:val="000000"/>
        </w:rPr>
        <w:t>68 курсов и семинаров).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Итогом реализации Государственной</w:t>
      </w:r>
      <w:r>
        <w:rPr>
          <w:color w:val="000000"/>
        </w:rPr>
        <w:t xml:space="preserve"> </w:t>
      </w:r>
      <w:r>
        <w:rPr>
          <w:color w:val="000000"/>
        </w:rPr>
        <w:t>программы – 2025 является создание информационного веб-ресурса «Карта инфраструктуры поддержки малого и среднего предпринимательства». Это интерактивная карта, которая позволяет по административно-т</w:t>
      </w:r>
      <w:r>
        <w:rPr>
          <w:color w:val="000000"/>
        </w:rPr>
        <w:t>ерриториальным единицам оперативно получить полную информацию о существующих институтах поддержки бизнеса, их услугах, квалификации и компетенциях.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За четыре года реализации Государственной</w:t>
      </w:r>
      <w:r>
        <w:rPr>
          <w:color w:val="000000"/>
        </w:rPr>
        <w:t xml:space="preserve"> </w:t>
      </w:r>
      <w:r>
        <w:rPr>
          <w:color w:val="000000"/>
        </w:rPr>
        <w:t>программы – 2025 открытым акционерным обществом «Банк развития Рес</w:t>
      </w:r>
      <w:r>
        <w:rPr>
          <w:color w:val="000000"/>
        </w:rPr>
        <w:t>публики Беларусь» (далее – ОАО «Банк развития Республики Беларусь») на поддержку субъектов МСП направлено 1,3 млрд. рублей.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lastRenderedPageBreak/>
        <w:t>Существенную поддержку субъектам МСП оказали коммерческие банки – участники Государственной</w:t>
      </w:r>
      <w:r>
        <w:rPr>
          <w:color w:val="000000"/>
        </w:rPr>
        <w:t xml:space="preserve"> </w:t>
      </w:r>
      <w:r>
        <w:rPr>
          <w:color w:val="000000"/>
        </w:rPr>
        <w:t>программы – 2025: открытое акционерное о</w:t>
      </w:r>
      <w:r>
        <w:rPr>
          <w:color w:val="000000"/>
        </w:rPr>
        <w:t xml:space="preserve">бщество «Сберегательный банк «Беларусбанк» (далее – ОАО «АСБ Беларусбанк»), открытое акционерное общество «Белинвестбанк» (далее – ОАО «Белинвестбанк»), открытое акционерное общество «Белагропромбанк» (далее – ОАО «Белагропромбанк»). В 2021–2024 годах ими </w:t>
      </w:r>
      <w:r>
        <w:rPr>
          <w:color w:val="000000"/>
        </w:rPr>
        <w:t>предоставлены заемные ресурсы в объеме 47,5 млрд. рублей.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Дополнительная ресурсная поддержка выделена из бюджета проекта международной технической помощи «Поддержка экономического развития на местном уровне в Республике Беларусь», реализованного Программой</w:t>
      </w:r>
      <w:r>
        <w:rPr>
          <w:color w:val="000000"/>
        </w:rPr>
        <w:t xml:space="preserve"> развития ООН (далее – ПРООН) при координации Министерства экономики (далее – Минэкономики). В 2021–2022 годах поддержано 111 инициатив, направленных на развитие инфраструктуры поддержки бизнеса, кластерные и социально значимые проекты, создано 415 новых р</w:t>
      </w:r>
      <w:r>
        <w:rPr>
          <w:color w:val="000000"/>
        </w:rPr>
        <w:t>абочих мест.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Выполнены почти все запланированные мероприятия Государственной</w:t>
      </w:r>
      <w:r>
        <w:rPr>
          <w:color w:val="000000"/>
        </w:rPr>
        <w:t xml:space="preserve"> </w:t>
      </w:r>
      <w:r>
        <w:rPr>
          <w:color w:val="000000"/>
        </w:rPr>
        <w:t>программы – 2025, направленные на упрощение регуляторных условий и администрирование бизнес-процессов.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Среди принятых (изданных) в рамках реализации Государственной</w:t>
      </w:r>
      <w:r>
        <w:rPr>
          <w:color w:val="000000"/>
        </w:rPr>
        <w:t xml:space="preserve"> </w:t>
      </w:r>
      <w:r>
        <w:rPr>
          <w:color w:val="000000"/>
        </w:rPr>
        <w:t>программы – 20</w:t>
      </w:r>
      <w:r>
        <w:rPr>
          <w:color w:val="000000"/>
        </w:rPr>
        <w:t>25 нормативных правовых актов важнейшим является</w:t>
      </w:r>
      <w:r>
        <w:rPr>
          <w:color w:val="000000"/>
        </w:rPr>
        <w:t xml:space="preserve"> </w:t>
      </w:r>
      <w:r>
        <w:rPr>
          <w:color w:val="000000"/>
        </w:rPr>
        <w:t>Закон Республики Беларусь от 22 апреля 2024 г. № 365-З «Об изменении законов по вопросам предпринимательской деятельности», а также принятые в его развитие указы и постановления. Также вступили в силу регуля</w:t>
      </w:r>
      <w:r>
        <w:rPr>
          <w:color w:val="000000"/>
        </w:rPr>
        <w:t>торные решения по вопросам осуществления административных процедур, в том числе лицензирования, ремесленной деятельности, индивидуальной предпринимательской деятельности, и другие.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Некоторые из запланированных мероприятий Государственной</w:t>
      </w:r>
      <w:r>
        <w:rPr>
          <w:color w:val="000000"/>
        </w:rPr>
        <w:t xml:space="preserve"> </w:t>
      </w:r>
      <w:r>
        <w:rPr>
          <w:color w:val="000000"/>
        </w:rPr>
        <w:t>программы – 2025 п</w:t>
      </w:r>
      <w:r>
        <w:rPr>
          <w:color w:val="000000"/>
        </w:rPr>
        <w:t>ризнаны нецелесообразными к реализации. Например, создание институтов омбудсмена и саморегулирования.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Значительное место в Государственной</w:t>
      </w:r>
      <w:r>
        <w:rPr>
          <w:color w:val="000000"/>
        </w:rPr>
        <w:t xml:space="preserve"> </w:t>
      </w:r>
      <w:r>
        <w:rPr>
          <w:color w:val="000000"/>
        </w:rPr>
        <w:t>программе – 2025 занимали мероприятия по стимулированию деловой инициативы, обучению навыкам предпринимательства и по</w:t>
      </w:r>
      <w:r>
        <w:rPr>
          <w:color w:val="000000"/>
        </w:rPr>
        <w:t>пуляризации предпринимательской деятельности. Они направлены на привлечение внимания широких кругов населения к теме предпринимательства, публичное позиционирование важности развития деловой активности в стране, популяризацию у молодежи идеи занятия собств</w:t>
      </w:r>
      <w:r>
        <w:rPr>
          <w:color w:val="000000"/>
        </w:rPr>
        <w:t>енным бизнесом. В деловом календаре значатся такие ежегодные мероприятия республиканского значения, как Национальный конкурс «Предприниматель года» и Белорусская неделя предпринимательства.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Реализация Государственной</w:t>
      </w:r>
      <w:r>
        <w:rPr>
          <w:color w:val="000000"/>
        </w:rPr>
        <w:t xml:space="preserve"> </w:t>
      </w:r>
      <w:r>
        <w:rPr>
          <w:color w:val="000000"/>
        </w:rPr>
        <w:t>программы – 2025 во многом способствова</w:t>
      </w:r>
      <w:r>
        <w:rPr>
          <w:color w:val="000000"/>
        </w:rPr>
        <w:t>ла росту вклада субъектов МСП в основные экономические показатели страны.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За четыре года реализации Государственной</w:t>
      </w:r>
      <w:r>
        <w:rPr>
          <w:color w:val="000000"/>
        </w:rPr>
        <w:t xml:space="preserve"> </w:t>
      </w:r>
      <w:r>
        <w:rPr>
          <w:color w:val="000000"/>
        </w:rPr>
        <w:t>программы – 2025 удельный вес валовой добавленной стоимости, произведенной субъектами МСП, в общем объеме валовой добавленной стоимости увел</w:t>
      </w:r>
      <w:r>
        <w:rPr>
          <w:color w:val="000000"/>
        </w:rPr>
        <w:t>ичился на 1,9 процентного пункта (до 31,4 процента), доля занятых в секторе приросла на 1,1 процентного пункта. В секторе МСП осуществляют деятельность 1,5 млн. человек (1474,1 тыс. человек), или 35,8 процента занятых в экономике.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Основные виды деятельност</w:t>
      </w:r>
      <w:r>
        <w:rPr>
          <w:color w:val="000000"/>
        </w:rPr>
        <w:t>и по количеству работников организаций МСП: промышленность (24,3 процента), оптовая и розничная торговля, ремонт автомобилей и мотоциклов (21,8 процента), сельское, лесное и рыбное хозяйство (11,7 процента), строительство (9,5 процента), транспортная деяте</w:t>
      </w:r>
      <w:r>
        <w:rPr>
          <w:color w:val="000000"/>
        </w:rPr>
        <w:t>льность, складирование, почтовая и курьерская деятельность (6,8 процента).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 xml:space="preserve">По итогам 2024 года количество организаций МСП достигло исторического максимума и составило 128 865 юридических лиц (115,7 процента к их количеству на начало 2021 года). Наибольший </w:t>
      </w:r>
      <w:r>
        <w:rPr>
          <w:color w:val="000000"/>
        </w:rPr>
        <w:t>прирост обеспечен за счет вновь зарегистрированных организаций в следующих сферах: образование (122,9 процента), творчество, спорт, развлечения и отдых (117,8 процента), услуги по временному проживанию и питанию (114,5 процента), здравоохранение и социальн</w:t>
      </w:r>
      <w:r>
        <w:rPr>
          <w:color w:val="000000"/>
        </w:rPr>
        <w:t>ые услуги (106,8 процента), административные и вспомогательные услуги (104,7 процента).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За 2021–2024 годы удельный вес выпуска товаров и услуг субъектами МСП увеличился на 2,6 процентного пункта и составил 26,7 процента в общем объеме выпуска товаров и усл</w:t>
      </w:r>
      <w:r>
        <w:rPr>
          <w:color w:val="000000"/>
        </w:rPr>
        <w:t>уг.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 номинальном выражении выручка в секторе возросла в 2 раза (195,7 процента) и достигла в 2024 году 309,4 млрд. рублей.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 отраслях реального сектора экономики темпы выручки в номинальном выражении составили: в сельском, лесном и рыбном хозяйствах – 160</w:t>
      </w:r>
      <w:r>
        <w:rPr>
          <w:color w:val="000000"/>
        </w:rPr>
        <w:t>,1 процента, промышленности – 196,4 процента, строительстве – 185,9 процента, транспортной деятельности, складировании и курьерской деятельности – 189,2 процента, информации и связи – 121,7 процента.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Наблюдаются положительные тенденции в изменении отраслев</w:t>
      </w:r>
      <w:r>
        <w:rPr>
          <w:color w:val="000000"/>
        </w:rPr>
        <w:t>ой структуры МСП. Так, удельный вес розничного товарооборота организаций торговли снизился с 30,8 процента в 2020 году до 27,7 процента в 2024 году. При этом доля в объеме промышленного производства увеличилась с 19,8 до 21,5 процента, в товарообороте обще</w:t>
      </w:r>
      <w:r>
        <w:rPr>
          <w:color w:val="000000"/>
        </w:rPr>
        <w:t>ственного питания – с 45,8 до 51,4 процента.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Удельный вес подрядных работ, выполненных субъектами МСП, в общем объеме подрядных работ увеличился с 42,2 процента в 2021 году до 47,8 процента в 2024 году.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Объемы инвестиций в </w:t>
      </w:r>
      <w:r>
        <w:rPr>
          <w:color w:val="000000"/>
        </w:rPr>
        <w:t>основной капитал организаций МСП возросли в 1,5 раза (157,4 процента) и достигли 39,5 процента в общем объеме инвестиций в основной капитал по стране.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 xml:space="preserve">Субъекты МСП играют важную роль во внешней торговле: доля экспорта товаров за 2020–2024 годы увеличилась </w:t>
      </w:r>
      <w:r>
        <w:rPr>
          <w:color w:val="000000"/>
        </w:rPr>
        <w:t>на 0,8 процентного пункта (до 43,6 процента), экспорта услуг – на 15,8 процентного пункта (до 58,8 процента).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Стабильна доля МСП в налоговых поступлениях страны на протяжении четырех лет – 35 процентов.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 целом приведенные данные свидетельствуют о том, что</w:t>
      </w:r>
      <w:r>
        <w:rPr>
          <w:color w:val="000000"/>
        </w:rPr>
        <w:t xml:space="preserve"> МСП прочно удерживает свои позиции в экономике. Вместе с тем его потенциал не задействован в полной мере.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Проводимые исследования выявили ряд проблемных вопросов, сдерживающих активизацию деловой активности в стране.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Во-первых, излишняя бюрократическая на</w:t>
      </w:r>
      <w:r>
        <w:rPr>
          <w:color w:val="000000"/>
        </w:rPr>
        <w:t>грузка на деловое сообщество, высокий уровень зарегулированности условий ведения бизнеса, частые изменения законодательных норм, значительное количество отсылочных (бланкетных) положений, нечеткость и двусмысленность отдельных правовых норм, сложный (много</w:t>
      </w:r>
      <w:r>
        <w:rPr>
          <w:color w:val="000000"/>
        </w:rPr>
        <w:t>ступенчатый) алгоритм соблюдения юридических процедур. В результате при общем обилии законодательства по вопросам предпринимательской деятельности его регулятивно-правовой эффект недостаточный.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Решением данного вопроса представляются: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выявление излишних ба</w:t>
      </w:r>
      <w:r>
        <w:rPr>
          <w:color w:val="000000"/>
        </w:rPr>
        <w:t>рьеров в предпринимательской деятельности;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полный перевод в электронный вид приоритетных деловых ситуаций и оцифровка административных процедур, наиболее востребованных бизнесом;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создание информационной системы «Цифровая платформа для субъектов малого и ср</w:t>
      </w:r>
      <w:r>
        <w:rPr>
          <w:color w:val="000000"/>
        </w:rPr>
        <w:t>еднего предпринимательства»;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проведение оценки регулирующего воздействия проектов правовых актов, оказывающих влияние на условия ведения бизнеса.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Во-вторых, недоступность коммерческих заемных финансовых ресурсов для некоторых категорий субъектов МСП, особе</w:t>
      </w:r>
      <w:r>
        <w:rPr>
          <w:color w:val="000000"/>
        </w:rPr>
        <w:t>нно на ранней стадии осуществления деятельности, фрагментированное развитие инструментов некредитного финансирования (гранты, венчурные инвестиции, средства инновационных фондов), ограниченность существующих инструментов поддержки, не всегда соответствующи</w:t>
      </w:r>
      <w:r>
        <w:rPr>
          <w:color w:val="000000"/>
        </w:rPr>
        <w:t>х реальным потребностям бизнеса, недостаточно развитая система удаленного доступа к услугам финансовых и нефинансовых институтов.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Для решения данного вопроса предусмотрено: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увеличение финансирования инструментов поддержки из республиканского бюджета в рамк</w:t>
      </w:r>
      <w:r>
        <w:rPr>
          <w:color w:val="000000"/>
        </w:rPr>
        <w:t>ах Государственной программы;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внедрение новых форм финансирования, включая небанковские финансовые инструменты поддержки субъектов предпринимательской деятельности (краудфандинг, краудинвестинг и другое);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расширение перечня специальных банковских продуктов</w:t>
      </w:r>
      <w:r>
        <w:rPr>
          <w:color w:val="000000"/>
        </w:rPr>
        <w:t xml:space="preserve"> и мер поддержки для отдельных категорий субъектов предпринимательской деятельности и инициативных граждан;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формирование единой цифровой экосистемы, объединяющей бизнес, государство и инфраструктурных партнеров и позволяющей получать обратную связь от бизн</w:t>
      </w:r>
      <w:r>
        <w:rPr>
          <w:color w:val="000000"/>
        </w:rPr>
        <w:t>еса для оценки востребованности и эффективности мер поддержки.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В-третьих, низкий уровень осведомленности субъектов предпринимательской деятельности о программах поддержки МСП, услугах, предлагаемых субъектами инфраструктуры поддержки МСП, отсутствие разгра</w:t>
      </w:r>
      <w:r>
        <w:rPr>
          <w:color w:val="000000"/>
        </w:rPr>
        <w:t>ничения инструментов поддержки на базовые услуги (предоставляемые на безвозмездной основе) для широкого круга субъектов МСП и более узкие услуги, которые могут предоставляться субъектам предпринимательской деятельности с наибольшим потенциалом роста и разв</w:t>
      </w:r>
      <w:r>
        <w:rPr>
          <w:color w:val="000000"/>
        </w:rPr>
        <w:t>ития, отсутствие систем диагностики деловых потребностей и имеющихся возможностей коммерческих организаций.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 свете выявленной проблемы представляется необходимым: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систематизировать информационно-консультационную поддержку субъектов предпринимательской дея</w:t>
      </w:r>
      <w:r>
        <w:rPr>
          <w:color w:val="000000"/>
        </w:rPr>
        <w:t>тельности;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трансформировать деятельность субъектов инфраструктуры поддержки субъектов МСП, в том числе за счет создания на базе БФФПП Центра развития предпринимательства, осуществляющего взаимодействие с субъектами инфраструктуры поддержки МСП в регионах;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создать информационную систему «Цифровая платформа для субъектов малого и среднего предпринимательства».</w:t>
      </w:r>
    </w:p>
    <w:p w:rsidR="00000000" w:rsidRDefault="00E04E21">
      <w:pPr>
        <w:pStyle w:val="chapter"/>
        <w:rPr>
          <w:color w:val="000000"/>
        </w:rPr>
      </w:pPr>
      <w:bookmarkStart w:id="4" w:name="a16"/>
      <w:bookmarkEnd w:id="4"/>
      <w:r>
        <w:rPr>
          <w:color w:val="000000"/>
        </w:rPr>
        <w:t>ГЛАВА 2</w:t>
      </w:r>
      <w:r>
        <w:rPr>
          <w:color w:val="000000"/>
        </w:rPr>
        <w:br/>
        <w:t>ЦЕЛЬ, ЗАДАЧИ И СТРУКТУРА ГОСУДАРСТВЕННОЙ ПРОГРАММЫ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Целью Государственной программы является создание благоприятных условий для осуществления пр</w:t>
      </w:r>
      <w:r>
        <w:rPr>
          <w:color w:val="000000"/>
        </w:rPr>
        <w:t>едпринимательской деятельности и динамичного развития МСП.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Для достижения поставленной цели предусматривается решение следующих задач: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стимулирование развития субъектов МСП;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создание комфортного бизнес-климата.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 xml:space="preserve">В рамках выполнения задачи по стимулированию </w:t>
      </w:r>
      <w:r>
        <w:rPr>
          <w:color w:val="000000"/>
        </w:rPr>
        <w:t>развития субъектов МСП обеспечивается: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содействие развитию институтов поддержки бизнеса и информационных сервисов;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ресурсное обеспечение субъектов МСП;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расширение инструментов нефинансовой поддержки для </w:t>
      </w:r>
      <w:r>
        <w:rPr>
          <w:color w:val="000000"/>
        </w:rPr>
        <w:t>отдельных категорий субъектов предпринимательской деятельности и инициативных граждан;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содействие развитию компетенций и навыков субъектов предпринимательской деятельности, повышение квалификации государственных служащих по вопросам регулирования предприни</w:t>
      </w:r>
      <w:r>
        <w:rPr>
          <w:color w:val="000000"/>
        </w:rPr>
        <w:t>мательской деятельности;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популяризация предпринимательской деятельности.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Реализация мероприятий задачи по стимулированию развития субъектов МСП позволит: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организовать новые и расширить действующие производства, нарастить объемы выпускаемой продукции и оказ</w:t>
      </w:r>
      <w:r>
        <w:rPr>
          <w:color w:val="000000"/>
        </w:rPr>
        <w:t>ываемых услуг, реализовывать экспортоориентированную и импортозамещающую продукцию за счет оказания государственной финансовой поддержки и увеличения кредитного портфеля для поддержки инвестиционных проектов субъектов МСП ОАО «Банк развития Республики Бела</w:t>
      </w:r>
      <w:r>
        <w:rPr>
          <w:color w:val="000000"/>
        </w:rPr>
        <w:t>русь» в наиболее производительных и эффективных отраслях;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повысить спрос со стороны бизнеса на услуги институтов поддержки бизнеса за счет проведения структурных преобразований инфраструктуры поддержки МСП в регионах, создания Центра развития предпринимате</w:t>
      </w:r>
      <w:r>
        <w:rPr>
          <w:color w:val="000000"/>
        </w:rPr>
        <w:t>льства, дистанционного предоставления поддержки (через информационную систему «Цифровая платформа для субъектов малого и среднего предпринимательства»);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задействовать финансовые ресурсы и нефинансовые услуги ряда коммерческих банков, в том числе в рамках з</w:t>
      </w:r>
      <w:r>
        <w:rPr>
          <w:color w:val="000000"/>
        </w:rPr>
        <w:t>аключенных ими соглашений с Минэкономики (поддержка женского, молодежного, инновационного (стартапов) предпринимательства и другое), а также международных организаций (по поддержке предпринимательской инициативы лиц «серебряного» возраста).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 рамках выполн</w:t>
      </w:r>
      <w:r>
        <w:rPr>
          <w:color w:val="000000"/>
        </w:rPr>
        <w:t>ения задачи по созданию комфортного бизнес-климата обеспечиваются: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совершенствование условий осуществления предпринимательской деятельности;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развитие института прогнозирования последствий принятия (издания) нормативных правовых актов в процессе определения</w:t>
      </w:r>
      <w:r>
        <w:rPr>
          <w:color w:val="000000"/>
        </w:rPr>
        <w:t xml:space="preserve"> управленческих решений.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Мероприятия задачи по созданию комфортного бизнес-климата направлены на создание стабильных, конкурентных и предсказуемых условий для инвестирования и развития бизнеса и предусматривают реализацию мер по сокращению административной</w:t>
      </w:r>
      <w:r>
        <w:rPr>
          <w:color w:val="000000"/>
        </w:rPr>
        <w:t xml:space="preserve"> и контрольной нагрузки на бизнес, развитие института прогнозирования последствий принятия (издания) нормативных правовых актов в процессе определения управленческих решений, в том числе оценки регулирующего воздействия (далее – ОРВ).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 xml:space="preserve">Принцип формирования </w:t>
      </w:r>
      <w:r>
        <w:rPr>
          <w:color w:val="000000"/>
        </w:rPr>
        <w:t>задач Государственной программы основан на необходимости снятия выявленных барьеров, а также на реализации основного этапа</w:t>
      </w:r>
      <w:r>
        <w:rPr>
          <w:color w:val="000000"/>
        </w:rPr>
        <w:t xml:space="preserve"> </w:t>
      </w:r>
      <w:r>
        <w:rPr>
          <w:color w:val="000000"/>
        </w:rPr>
        <w:t>Стратегии развития малого и среднего предпринимательства «Беларусь – страна успешного предпринимательства» на период до 2030 года, ут</w:t>
      </w:r>
      <w:r>
        <w:rPr>
          <w:color w:val="000000"/>
        </w:rPr>
        <w:t>вержденной постановлением Совета Министров Республики Беларусь от 17 октября 2018 г. № 743. На данном этапе предусматриваются: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создание конкурентоспособного и адаптивного предпринимательского сектора национальной экономики, обеспечивающего быстрое технолог</w:t>
      </w:r>
      <w:r>
        <w:rPr>
          <w:color w:val="000000"/>
        </w:rPr>
        <w:t>ическое обновление производства, стабильную занятость и рост качества жизни населения;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 xml:space="preserve">устойчивая динамика качественного развития, совершенствование отраслевой и территориальной структуры МСП, усиление технического, технологического и кадрового потенциала </w:t>
      </w:r>
      <w:r>
        <w:rPr>
          <w:color w:val="000000"/>
        </w:rPr>
        <w:t>его субъектов;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выход белорусских субъектов МСП на зарубежные рынки.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Подтверждение достижения цели Государственной программы обеспечивается сведениями о сводных целевых показателях и их значениями, а подтверждение выполнения задач – сведениями о целевых пок</w:t>
      </w:r>
      <w:r>
        <w:rPr>
          <w:color w:val="000000"/>
        </w:rPr>
        <w:t>азателях и их значениями (далее – сводные целевые и целевые показатели), согласно приложению 1.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Сведения о расчете сводных целевых и целевых показателей и представлении данных по ним определены согласно приложению 2.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 xml:space="preserve">Решение задач «Стимулирование развития </w:t>
      </w:r>
      <w:r>
        <w:rPr>
          <w:color w:val="000000"/>
        </w:rPr>
        <w:t>субъектов МСП» и «Создание комфортного бизнес-климата» Государственной программы будет обеспечено путем реализации комплекса мероприятий Государственной программы согласно приложению 3.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Ответственным заказчиком Государственной программы является Минэкономи</w:t>
      </w:r>
      <w:r>
        <w:rPr>
          <w:color w:val="000000"/>
        </w:rPr>
        <w:t>ки. Заказчиками Государственной программы являются Министерство антимонопольного регулирования и торговли, Министерство архитектуры и строительства, Министерство информации, Министерство образования, Министерство по налогам и сборам, Министерство промышлен</w:t>
      </w:r>
      <w:r>
        <w:rPr>
          <w:color w:val="000000"/>
        </w:rPr>
        <w:t>ности, Министерство сельского хозяйства и продовольствия, Министерство связи и информатизации, Министерство труда и социальной защиты, Министерство финансов, Минэкономики, Государственный комитет по имуществу, Государственный комитет по науке и технологиям</w:t>
      </w:r>
      <w:r>
        <w:rPr>
          <w:color w:val="000000"/>
        </w:rPr>
        <w:t>, Государственный комитет по стандартизации, БФФПП, ОАО «Банк развития Республики Беларусь», Национальная академия наук Беларуси, Академия управления при Президенте Республики Беларусь, облисполкомы, Минский горисполком.</w:t>
      </w:r>
    </w:p>
    <w:p w:rsidR="00000000" w:rsidRDefault="00E04E21">
      <w:pPr>
        <w:pStyle w:val="chapter"/>
        <w:rPr>
          <w:color w:val="000000"/>
        </w:rPr>
      </w:pPr>
      <w:bookmarkStart w:id="5" w:name="a17"/>
      <w:bookmarkEnd w:id="5"/>
      <w:r>
        <w:rPr>
          <w:color w:val="000000"/>
        </w:rPr>
        <w:t>ГЛАВА 3</w:t>
      </w:r>
      <w:r>
        <w:rPr>
          <w:color w:val="000000"/>
        </w:rPr>
        <w:br/>
        <w:t>ФИНАНСОВОЕ ОБЕСПЕЧЕНИЕ ГОСУ</w:t>
      </w:r>
      <w:r>
        <w:rPr>
          <w:color w:val="000000"/>
        </w:rPr>
        <w:t>ДАРСТВЕННОЙ ПРОГРАММЫ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Объемы и источники финансирования мероприятий по задаче «Стимулирование развития субъектов МСП» Государственной программы будет осуществляться за счет средств республиканского и местных бюджетов, ОАО «Банк развития Республики Беларусь</w:t>
      </w:r>
      <w:r>
        <w:rPr>
          <w:color w:val="000000"/>
        </w:rPr>
        <w:t>», БФФПП, ОАО «АСБ Беларусбанк», ОАО «Белагропромбанк», ОАО «Белинвестбанк».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Планируемый объем расходов по финансовому обеспечению мероприятий по задаче «Стимулирование развития субъектов МСП» определен в приложении 4 и составляет 64 191 624 884 рубля, в т</w:t>
      </w:r>
      <w:r>
        <w:rPr>
          <w:color w:val="000000"/>
        </w:rPr>
        <w:t>ом числе: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 2026 году – 11 199 188 109 рублей;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 2027 году – 12 105 055 955 рублей;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 2028 году – 13 016 859 859 рублей;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 2029 году – 13 428 730 074 рубля;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 2030 году – 14 441 790 887 рублей.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Из республиканского бюджета на финансирование мероприятий Госу</w:t>
      </w:r>
      <w:r>
        <w:rPr>
          <w:color w:val="000000"/>
        </w:rPr>
        <w:t>дарственной программы будет направлено 70 258 623 рубля, из местных бюджетов – 91 682 128 рублей, собственных средств – 64 029 684 133 рубля.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 том числе в рамках государственной финансовой поддержки БФФПП направит 5 000 </w:t>
      </w:r>
      <w:r>
        <w:rPr>
          <w:color w:val="000000"/>
        </w:rPr>
        <w:t>000 рублей собственных средств (ежегодно по 1 000 000 рублей) на финансирование крестьянских (фермерских) хозяйств, осуществляющих предпринимательскую деятельность по производству сельскохозяйственной продукции, а также по ее переработке, хранению, транспо</w:t>
      </w:r>
      <w:r>
        <w:rPr>
          <w:color w:val="000000"/>
        </w:rPr>
        <w:t>ртировке и реализации.</w:t>
      </w:r>
    </w:p>
    <w:p w:rsidR="00000000" w:rsidRDefault="00E04E21">
      <w:pPr>
        <w:pStyle w:val="chapter"/>
        <w:rPr>
          <w:color w:val="000000"/>
        </w:rPr>
      </w:pPr>
      <w:bookmarkStart w:id="6" w:name="a18"/>
      <w:bookmarkEnd w:id="6"/>
      <w:r>
        <w:rPr>
          <w:color w:val="000000"/>
        </w:rPr>
        <w:t>ГЛАВА 4</w:t>
      </w:r>
      <w:r>
        <w:rPr>
          <w:color w:val="000000"/>
        </w:rPr>
        <w:br/>
        <w:t>ОСНОВНЫЕ РИСКИ ПРИ ВЫПОЛНЕНИИ ГОСУДАРСТВЕННОЙ ПРОГРАММЫ. МЕХАНИЗМЫ УПРАВЛЕНИЯ РИСКАМИ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Достижение установленных в Государственной программе значений сводных целевых и целевых показателей может быть осложнено рисками, что обусл</w:t>
      </w:r>
      <w:r>
        <w:rPr>
          <w:color w:val="000000"/>
        </w:rPr>
        <w:t>овливает необходимость их прогнозирования и своевременного принятия мер по их минимизации.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К основным рискам, которые могут возникнуть при реализации Государственной программы, относятся: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макроэкономические риски, связанные с ухудшением внутренней и внешне</w:t>
      </w:r>
      <w:r>
        <w:rPr>
          <w:color w:val="000000"/>
        </w:rPr>
        <w:t>й экономической конъюнктуры на фоне снижения мировой экономической активности, установлением «торговых войн», разрывом экспортно-импортных отношений;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правовые риски, связанные с изменением законодательства, длительностью периода формирования нормативной пр</w:t>
      </w:r>
      <w:r>
        <w:rPr>
          <w:color w:val="000000"/>
        </w:rPr>
        <w:t>авовой базы, необходимой для эффективной реализации Государственной программы;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финансовые риски, которые могут быть вызваны сокращением средств, выделяемых на выполнение мероприятий Государственной программы;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организационные риски, связанные с неэффективно</w:t>
      </w:r>
      <w:r>
        <w:rPr>
          <w:color w:val="000000"/>
        </w:rPr>
        <w:t>й деятельностью заказчиков Государственной программы по реализации ее мероприятий, недостаточным уровнем межведомственного взаимодействия, дефицитом квалифицированных кадров, ответственных за выполнение задач Государственной программы, что приведет к сниже</w:t>
      </w:r>
      <w:r>
        <w:rPr>
          <w:color w:val="000000"/>
        </w:rPr>
        <w:t>нию качества выполнения мероприятий Государственной программы;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риск несоответствия стимулов и механизмов поддержки, предусмотренных Государственной программой для укрепления потенциала субъектов инфраструктуры поддержки МСП (действующих и потенциальных), ф</w:t>
      </w:r>
      <w:r>
        <w:rPr>
          <w:color w:val="000000"/>
        </w:rPr>
        <w:t>актическим потребностям данных субъектов, необходимым для повышения спроса со стороны малого и среднего бизнеса на их услуги;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риск несоответствия планируемых Государственной программой мер поддержки МСП быстро изменяющимся потребностям МСП в такой поддержк</w:t>
      </w:r>
      <w:r>
        <w:rPr>
          <w:color w:val="000000"/>
        </w:rPr>
        <w:t>е.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Минимизация макроэкономических рисков возможна путем перераспределения средств, предусмотренных на финансирование Государственной программы, предоставления мер поддержки субъектам МСП, являющимся наиболее устойчивыми к рискам неблагоприятной макроэконом</w:t>
      </w:r>
      <w:r>
        <w:rPr>
          <w:color w:val="000000"/>
        </w:rPr>
        <w:t>ической ситуации.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 xml:space="preserve">Для минимизации воздействия правовых рисков на этапе разработки проектов нормативных правовых актов планируется привлекать к их обсуждению заинтересованные стороны, которые впоследствии должны принять участие в их согласовании, проводить </w:t>
      </w:r>
      <w:r>
        <w:rPr>
          <w:color w:val="000000"/>
        </w:rPr>
        <w:t>мониторинг планируемых изменений в законодательстве.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Преодоление финансовых рисков возможно путем ежегодного уточнения объемов финансовых средств, предусмотренных на реализацию Государственной программы, определения приоритетов в предоставлении финансирова</w:t>
      </w:r>
      <w:r>
        <w:rPr>
          <w:color w:val="000000"/>
        </w:rPr>
        <w:t>ния субъектам МСП и субъектам инфраструктуры поддержки МСП.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Основными способами минимизации организационных рисков являются формирование эффективной системы управления реализацией Государственной программы, повышение уровня межведомственного взаимодействия</w:t>
      </w:r>
      <w:r>
        <w:rPr>
          <w:color w:val="000000"/>
        </w:rPr>
        <w:t>, оперативное реагирование на выявленные недостатки, своевременная корректировка мероприятий Государственной программы.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 целях минимизации риска несоответствия стимулов и механизмов поддержки в рамках выработки необходимых мер и механизмов поддержки субъе</w:t>
      </w:r>
      <w:r>
        <w:rPr>
          <w:color w:val="000000"/>
        </w:rPr>
        <w:t>ктов инфраструктуры поддержки МСП будет предусмотрено проведение предварительного анализа для идентификации потенциальных новых субъектов инфраструктуры и мер поддержки, необходимых для их вовлечения в реализацию мероприятий Государственной программы.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В це</w:t>
      </w:r>
      <w:r>
        <w:rPr>
          <w:color w:val="000000"/>
        </w:rPr>
        <w:t>лях минимизации риска несоответствия планируемых Государственной программой мер поддержки МСП будет предусмотрено привлечение членов межведомственной рабочей группы по формированию и выполнению Государственной программы к анализу и корректировке мер поддер</w:t>
      </w:r>
      <w:r>
        <w:rPr>
          <w:color w:val="000000"/>
        </w:rPr>
        <w:t>жки субъектов МСП.</w:t>
      </w:r>
    </w:p>
    <w:p w:rsidR="00000000" w:rsidRDefault="00E04E21">
      <w:pPr>
        <w:pStyle w:val="chapter"/>
        <w:rPr>
          <w:color w:val="000000"/>
        </w:rPr>
      </w:pPr>
      <w:bookmarkStart w:id="7" w:name="a19"/>
      <w:bookmarkEnd w:id="7"/>
      <w:r>
        <w:rPr>
          <w:color w:val="000000"/>
        </w:rPr>
        <w:t>ГЛАВА 5</w:t>
      </w:r>
      <w:r>
        <w:rPr>
          <w:color w:val="000000"/>
        </w:rPr>
        <w:br/>
        <w:t>МЕТОДИКА ОЦЕНКИ ЭФФЕКТИВНОСТИ РЕАЛИЗАЦИИ ГОСУДАРСТВЕННОЙ ПРОГРАММЫ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Оценка эффективности реализации Государственной программы включает в себя оценку степени достижения плановых значений сводных целевых и целевых показателей, выпол</w:t>
      </w:r>
      <w:r>
        <w:rPr>
          <w:color w:val="000000"/>
        </w:rPr>
        <w:t>нения задач и достижения цели Государственной программы, оценку выполнения комплекса мероприятий Государственной программы, оценку эффективности использования финансовых ресурсов, в том числе бюджетных средств, на реализацию Государственной программы.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Осно</w:t>
      </w:r>
      <w:r>
        <w:rPr>
          <w:color w:val="000000"/>
        </w:rPr>
        <w:t>вными источниками получения сведений о значении сводных целевых и целевых показателей Государственной программы, а также данных для их расчета являются государственная статистическая отчетность, сведения, представляемые налоговыми органами, и отчетность су</w:t>
      </w:r>
      <w:r>
        <w:rPr>
          <w:color w:val="000000"/>
        </w:rPr>
        <w:t>бъектов инфраструктуры поддержки МСП.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Степень достижения плановых значений целевых показателей Государственной программы, желаемой тенденцией развития которых является увеличение значений в отчетном периоде, рассчитывается по формуле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85800" cy="466725"/>
            <wp:effectExtent l="0" t="0" r="0" b="9525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rPr>
          <w:color w:val="000000"/>
        </w:rPr>
      </w:pPr>
      <w:r>
        <w:rPr>
          <w:color w:val="000000"/>
        </w:rPr>
        <w:t>где    </w:t>
      </w:r>
      <w:r>
        <w:rPr>
          <w:i/>
          <w:iCs/>
          <w:color w:val="000000"/>
        </w:rPr>
        <w:t>SD</w:t>
      </w:r>
      <w:r>
        <w:rPr>
          <w:i/>
          <w:iCs/>
          <w:color w:val="000000"/>
          <w:sz w:val="18"/>
          <w:szCs w:val="18"/>
          <w:vertAlign w:val="subscript"/>
        </w:rPr>
        <w:t>с</w:t>
      </w:r>
      <w:r>
        <w:rPr>
          <w:color w:val="000000"/>
        </w:rPr>
        <w:t> – степень достижения планового значения целевого показателя в отчетном периоде, которая определяется в интервале от 0 до 1 с </w:t>
      </w:r>
      <w:r>
        <w:rPr>
          <w:color w:val="000000"/>
        </w:rPr>
        <w:t>двумя знаками после запятой*;</w:t>
      </w:r>
    </w:p>
    <w:p w:rsidR="00000000" w:rsidRDefault="00E04E21">
      <w:pPr>
        <w:pStyle w:val="newncpi"/>
        <w:rPr>
          <w:color w:val="000000"/>
        </w:rPr>
      </w:pPr>
      <w:r>
        <w:rPr>
          <w:i/>
          <w:iCs/>
          <w:color w:val="000000"/>
        </w:rPr>
        <w:t>P</w:t>
      </w:r>
      <w:r>
        <w:rPr>
          <w:i/>
          <w:iCs/>
          <w:color w:val="000000"/>
          <w:sz w:val="18"/>
          <w:szCs w:val="18"/>
          <w:vertAlign w:val="subscript"/>
        </w:rPr>
        <w:t>f</w:t>
      </w:r>
      <w:r>
        <w:rPr>
          <w:color w:val="000000"/>
        </w:rPr>
        <w:t> – значение целевого показателя, фактически достигнутое на конец отчетного периода;</w:t>
      </w:r>
    </w:p>
    <w:p w:rsidR="00000000" w:rsidRDefault="00E04E21">
      <w:pPr>
        <w:pStyle w:val="newncpi"/>
        <w:rPr>
          <w:color w:val="000000"/>
        </w:rPr>
      </w:pPr>
      <w:r>
        <w:rPr>
          <w:i/>
          <w:iCs/>
          <w:color w:val="000000"/>
        </w:rPr>
        <w:t>P</w:t>
      </w:r>
      <w:r>
        <w:rPr>
          <w:i/>
          <w:iCs/>
          <w:color w:val="000000"/>
          <w:sz w:val="18"/>
          <w:szCs w:val="18"/>
          <w:vertAlign w:val="subscript"/>
        </w:rPr>
        <w:t>p</w:t>
      </w:r>
      <w:r>
        <w:rPr>
          <w:color w:val="000000"/>
        </w:rPr>
        <w:t> – плановое значение целевого показателя на конец отчетного периода.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 xml:space="preserve">Если значение </w:t>
      </w:r>
      <w:r>
        <w:rPr>
          <w:i/>
          <w:iCs/>
          <w:color w:val="000000"/>
        </w:rPr>
        <w:t>SD</w:t>
      </w:r>
      <w:r>
        <w:rPr>
          <w:i/>
          <w:iCs/>
          <w:color w:val="000000"/>
          <w:sz w:val="18"/>
          <w:szCs w:val="18"/>
          <w:vertAlign w:val="subscript"/>
        </w:rPr>
        <w:t>с</w:t>
      </w:r>
      <w:r>
        <w:rPr>
          <w:color w:val="000000"/>
        </w:rPr>
        <w:t xml:space="preserve"> больше 1, оно принимается равным 1.</w:t>
      </w:r>
    </w:p>
    <w:p w:rsidR="00000000" w:rsidRDefault="00E04E21">
      <w:pPr>
        <w:pStyle w:val="snoskiline"/>
        <w:rPr>
          <w:color w:val="000000"/>
        </w:rPr>
      </w:pPr>
      <w:r>
        <w:rPr>
          <w:color w:val="000000"/>
        </w:rPr>
        <w:t>_______________</w:t>
      </w:r>
      <w:r>
        <w:rPr>
          <w:color w:val="000000"/>
        </w:rPr>
        <w:t>_______________</w:t>
      </w:r>
    </w:p>
    <w:p w:rsidR="00000000" w:rsidRDefault="00E04E21">
      <w:pPr>
        <w:pStyle w:val="snoski"/>
        <w:spacing w:after="240"/>
        <w:rPr>
          <w:color w:val="000000"/>
        </w:rPr>
      </w:pPr>
      <w:bookmarkStart w:id="8" w:name="a12"/>
      <w:bookmarkEnd w:id="8"/>
      <w:r>
        <w:rPr>
          <w:color w:val="000000"/>
        </w:rPr>
        <w:t>* Степень достижения планового значения целевого показателя на 100 процентов приводится к 1, на 86 процентов – к 0,86 и так далее.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Степень выполнения задачи Государственной программы в отчетном периоде рассчитывается по формуле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000125" cy="400050"/>
            <wp:effectExtent l="0" t="0" r="9525" b="0"/>
            <wp:docPr id="2" name="Рисунок 2" descr="C:\fake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rPr>
          <w:color w:val="000000"/>
        </w:rPr>
      </w:pPr>
      <w:r>
        <w:rPr>
          <w:color w:val="000000"/>
        </w:rPr>
        <w:t>где    </w:t>
      </w:r>
      <w:r>
        <w:rPr>
          <w:i/>
          <w:iCs/>
          <w:color w:val="000000"/>
        </w:rPr>
        <w:t>SZ</w:t>
      </w:r>
      <w:r>
        <w:rPr>
          <w:color w:val="000000"/>
        </w:rPr>
        <w:t> – степень выполнения задачи Государственной программы в отчетном периоде;</w:t>
      </w:r>
    </w:p>
    <w:p w:rsidR="00000000" w:rsidRDefault="00E04E21">
      <w:pPr>
        <w:pStyle w:val="newncpi"/>
        <w:rPr>
          <w:color w:val="000000"/>
        </w:rPr>
      </w:pPr>
      <w:r>
        <w:rPr>
          <w:i/>
          <w:iCs/>
          <w:color w:val="000000"/>
        </w:rPr>
        <w:t>SD</w:t>
      </w:r>
      <w:r>
        <w:rPr>
          <w:i/>
          <w:iCs/>
          <w:color w:val="000000"/>
          <w:sz w:val="18"/>
          <w:szCs w:val="18"/>
          <w:vertAlign w:val="subscript"/>
        </w:rPr>
        <w:t>c</w:t>
      </w:r>
      <w:r>
        <w:rPr>
          <w:color w:val="000000"/>
        </w:rPr>
        <w:t> – степень достижения планово</w:t>
      </w:r>
      <w:r>
        <w:rPr>
          <w:color w:val="000000"/>
        </w:rPr>
        <w:t>го значения целевого показателя в отчетном периоде;</w:t>
      </w:r>
    </w:p>
    <w:p w:rsidR="00000000" w:rsidRDefault="00E04E21">
      <w:pPr>
        <w:pStyle w:val="newncpi"/>
        <w:rPr>
          <w:color w:val="000000"/>
        </w:rPr>
      </w:pPr>
      <w:r>
        <w:rPr>
          <w:i/>
          <w:iCs/>
          <w:color w:val="000000"/>
        </w:rPr>
        <w:t>n</w:t>
      </w:r>
      <w:r>
        <w:rPr>
          <w:color w:val="000000"/>
        </w:rPr>
        <w:t> – количество целевых показателей Государственной программы, характеризующих выполнение ее задачи в отчетном периоде.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Эффективность выполнения комплекса мероприятий Государственной программы в отчетном п</w:t>
      </w:r>
      <w:r>
        <w:rPr>
          <w:color w:val="000000"/>
        </w:rPr>
        <w:t>ериоде оценивается следующим образом.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На первом этапе определяется суммарная оценка выполнения комплекса мероприятий Государственной программы в отчетном периоде по формуле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971550" cy="466725"/>
            <wp:effectExtent l="0" t="0" r="0" b="9525"/>
            <wp:docPr id="3" name="Рисунок 3" descr="C:\fake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rPr>
          <w:color w:val="000000"/>
        </w:rPr>
      </w:pPr>
      <w:r>
        <w:rPr>
          <w:color w:val="000000"/>
        </w:rPr>
        <w:t>где    </w:t>
      </w:r>
      <w:r>
        <w:rPr>
          <w:i/>
          <w:iCs/>
          <w:color w:val="000000"/>
        </w:rPr>
        <w:t>SM</w:t>
      </w:r>
      <w:r>
        <w:rPr>
          <w:color w:val="000000"/>
        </w:rPr>
        <w:t> – суммарная оценка выполнения комплекса мероприятий Государственной программы в отчетном периоде;</w:t>
      </w:r>
    </w:p>
    <w:p w:rsidR="00000000" w:rsidRDefault="00E04E21">
      <w:pPr>
        <w:pStyle w:val="newncpi"/>
        <w:rPr>
          <w:color w:val="000000"/>
        </w:rPr>
      </w:pPr>
      <w:r>
        <w:rPr>
          <w:i/>
          <w:iCs/>
          <w:color w:val="000000"/>
        </w:rPr>
        <w:t>M</w:t>
      </w:r>
      <w:r>
        <w:rPr>
          <w:color w:val="000000"/>
        </w:rPr>
        <w:t> – степень выполнения одного мероприятия Государственной программы в отчетном периоде, выражаемая ч</w:t>
      </w:r>
      <w:r>
        <w:rPr>
          <w:color w:val="000000"/>
        </w:rPr>
        <w:t>ислом от 0 до 1 с двумя знаками после запятой*;</w:t>
      </w:r>
    </w:p>
    <w:p w:rsidR="00000000" w:rsidRDefault="00E04E21">
      <w:pPr>
        <w:pStyle w:val="newncpi"/>
        <w:rPr>
          <w:color w:val="000000"/>
        </w:rPr>
      </w:pPr>
      <w:r>
        <w:rPr>
          <w:i/>
          <w:iCs/>
          <w:color w:val="000000"/>
        </w:rPr>
        <w:t>m</w:t>
      </w:r>
      <w:r>
        <w:rPr>
          <w:color w:val="000000"/>
        </w:rPr>
        <w:t> – общее количество мероприятий Государственной программы, запланированных к выполнению в отчетном периоде.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 xml:space="preserve">Если значение </w:t>
      </w:r>
      <w:r>
        <w:rPr>
          <w:i/>
          <w:iCs/>
          <w:color w:val="000000"/>
        </w:rPr>
        <w:t>M</w:t>
      </w:r>
      <w:r>
        <w:rPr>
          <w:color w:val="000000"/>
        </w:rPr>
        <w:t xml:space="preserve"> больше 1, то оно принимается равным 1.</w:t>
      </w:r>
    </w:p>
    <w:p w:rsidR="00000000" w:rsidRDefault="00E04E2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04E21">
      <w:pPr>
        <w:pStyle w:val="snoski"/>
        <w:spacing w:after="240"/>
        <w:rPr>
          <w:color w:val="000000"/>
        </w:rPr>
      </w:pPr>
      <w:bookmarkStart w:id="9" w:name="a13"/>
      <w:bookmarkEnd w:id="9"/>
      <w:r>
        <w:rPr>
          <w:color w:val="000000"/>
        </w:rPr>
        <w:t>* Степень вып</w:t>
      </w:r>
      <w:r>
        <w:rPr>
          <w:color w:val="000000"/>
        </w:rPr>
        <w:t>олнения мероприятия Государственной программы на 100 процентов приводится к 1, на 86 процентов – к 0,86 и так далее.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На втором этапе для оценки использования финансовых ресурсов в отчетном периоде рассчитывается степень соответствия фактического объема фин</w:t>
      </w:r>
      <w:r>
        <w:rPr>
          <w:color w:val="000000"/>
        </w:rPr>
        <w:t>ансирования Государственной программы плановому объему финансирования по формуле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38175" cy="466725"/>
            <wp:effectExtent l="0" t="0" r="9525" b="9525"/>
            <wp:docPr id="4" name="Рисунок 4" descr="C:\fake\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fake\image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rPr>
          <w:color w:val="000000"/>
        </w:rPr>
      </w:pPr>
      <w:r>
        <w:rPr>
          <w:color w:val="000000"/>
        </w:rPr>
        <w:t>где    </w:t>
      </w:r>
      <w:r>
        <w:rPr>
          <w:i/>
          <w:iCs/>
          <w:color w:val="000000"/>
        </w:rPr>
        <w:t>SF</w:t>
      </w:r>
      <w:r>
        <w:rPr>
          <w:color w:val="000000"/>
        </w:rPr>
        <w:t> – степень соответствия ф</w:t>
      </w:r>
      <w:r>
        <w:rPr>
          <w:color w:val="000000"/>
        </w:rPr>
        <w:t>актического объема финансирования Государственной программы плановому объему финансирования в отчетном периоде;</w:t>
      </w:r>
    </w:p>
    <w:p w:rsidR="00000000" w:rsidRDefault="00E04E21">
      <w:pPr>
        <w:pStyle w:val="newncpi"/>
        <w:rPr>
          <w:color w:val="000000"/>
        </w:rPr>
      </w:pPr>
      <w:r>
        <w:rPr>
          <w:i/>
          <w:iCs/>
          <w:color w:val="000000"/>
        </w:rPr>
        <w:t>F</w:t>
      </w:r>
      <w:r>
        <w:rPr>
          <w:i/>
          <w:iCs/>
          <w:color w:val="000000"/>
          <w:sz w:val="18"/>
          <w:szCs w:val="18"/>
          <w:vertAlign w:val="subscript"/>
        </w:rPr>
        <w:t>f</w:t>
      </w:r>
      <w:r>
        <w:rPr>
          <w:i/>
          <w:iCs/>
          <w:color w:val="000000"/>
        </w:rPr>
        <w:t> </w:t>
      </w:r>
      <w:r>
        <w:rPr>
          <w:color w:val="000000"/>
        </w:rPr>
        <w:t>– фактический объем финансирования Государственной программы в отчетном периоде (кассовые расходы);</w:t>
      </w:r>
    </w:p>
    <w:p w:rsidR="00000000" w:rsidRDefault="00E04E21">
      <w:pPr>
        <w:pStyle w:val="newncpi"/>
        <w:rPr>
          <w:color w:val="000000"/>
        </w:rPr>
      </w:pPr>
      <w:r>
        <w:rPr>
          <w:i/>
          <w:iCs/>
          <w:color w:val="000000"/>
        </w:rPr>
        <w:t>F</w:t>
      </w:r>
      <w:r>
        <w:rPr>
          <w:i/>
          <w:iCs/>
          <w:color w:val="000000"/>
          <w:sz w:val="18"/>
          <w:szCs w:val="18"/>
          <w:vertAlign w:val="subscript"/>
        </w:rPr>
        <w:t>p</w:t>
      </w:r>
      <w:r>
        <w:rPr>
          <w:color w:val="000000"/>
        </w:rPr>
        <w:t> – плановый объем финансирования Госуда</w:t>
      </w:r>
      <w:r>
        <w:rPr>
          <w:color w:val="000000"/>
        </w:rPr>
        <w:t>рственной программы в отчетном периоде (план финансирования в соответствии с действующей редакцией Государственной программы).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На третьем этапе эффективность выполнения комплекса мероприятий Государственной программы в отчетном периоде рассчитывается по фо</w:t>
      </w:r>
      <w:r>
        <w:rPr>
          <w:color w:val="000000"/>
        </w:rPr>
        <w:t>рмуле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85800" cy="400050"/>
            <wp:effectExtent l="0" t="0" r="0" b="0"/>
            <wp:docPr id="5" name="Рисунок 5" descr="C:\fake\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fake\image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rPr>
          <w:color w:val="000000"/>
        </w:rPr>
      </w:pPr>
      <w:r>
        <w:rPr>
          <w:color w:val="000000"/>
        </w:rPr>
        <w:t>где    </w:t>
      </w:r>
      <w:r>
        <w:rPr>
          <w:i/>
          <w:iCs/>
          <w:color w:val="000000"/>
        </w:rPr>
        <w:t>SR</w:t>
      </w:r>
      <w:r>
        <w:rPr>
          <w:color w:val="000000"/>
        </w:rPr>
        <w:t> – эффективность выполнения комплекса мероприятий Государстве</w:t>
      </w:r>
      <w:r>
        <w:rPr>
          <w:color w:val="000000"/>
        </w:rPr>
        <w:t>нной программы в отчетном периоде;</w:t>
      </w:r>
    </w:p>
    <w:p w:rsidR="00000000" w:rsidRDefault="00E04E21">
      <w:pPr>
        <w:pStyle w:val="newncpi"/>
        <w:rPr>
          <w:color w:val="000000"/>
        </w:rPr>
      </w:pPr>
      <w:r>
        <w:rPr>
          <w:i/>
          <w:iCs/>
          <w:color w:val="000000"/>
        </w:rPr>
        <w:t>SM</w:t>
      </w:r>
      <w:r>
        <w:rPr>
          <w:color w:val="000000"/>
        </w:rPr>
        <w:t> – суммарная оценка выполнения комплекса мероприятий Государственной программы в отчетном периоде;</w:t>
      </w:r>
    </w:p>
    <w:p w:rsidR="00000000" w:rsidRDefault="00E04E21">
      <w:pPr>
        <w:pStyle w:val="newncpi"/>
        <w:rPr>
          <w:color w:val="000000"/>
        </w:rPr>
      </w:pPr>
      <w:r>
        <w:rPr>
          <w:i/>
          <w:iCs/>
          <w:color w:val="000000"/>
        </w:rPr>
        <w:t>SF</w:t>
      </w:r>
      <w:r>
        <w:rPr>
          <w:color w:val="000000"/>
        </w:rPr>
        <w:t> – степень соответствия фактического объема финансирования Государственной программы плановому объему финансирования в</w:t>
      </w:r>
      <w:r>
        <w:rPr>
          <w:color w:val="000000"/>
        </w:rPr>
        <w:t> отчетном периоде.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Оценка эффективности расходования бюджетных средств осуществляется следующим образом.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На первом этапе осуществляется суммарная оценка выполнения комплекса мероприятий Государственной программы, реализуемых за счет бюджетных средств в отч</w:t>
      </w:r>
      <w:r>
        <w:rPr>
          <w:color w:val="000000"/>
        </w:rPr>
        <w:t>етном периоде, по формуле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019175" cy="466725"/>
            <wp:effectExtent l="0" t="0" r="9525" b="9525"/>
            <wp:docPr id="6" name="Рисунок 6" descr="C:\fake\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fake\image1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rPr>
          <w:color w:val="000000"/>
        </w:rPr>
      </w:pPr>
      <w:r>
        <w:rPr>
          <w:color w:val="000000"/>
        </w:rPr>
        <w:t>где    </w:t>
      </w:r>
      <w:r>
        <w:rPr>
          <w:noProof/>
          <w:color w:val="000000"/>
        </w:rPr>
        <w:drawing>
          <wp:inline distT="0" distB="0" distL="0" distR="0">
            <wp:extent cx="314325" cy="180975"/>
            <wp:effectExtent l="0" t="0" r="9525" b="9525"/>
            <wp:docPr id="7" name="Рисунок 7" descr="C:\fake\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fake\image1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– суммарная оценка выполнения комплекса мероприятий Государственной прог</w:t>
      </w:r>
      <w:r>
        <w:rPr>
          <w:color w:val="000000"/>
        </w:rPr>
        <w:t>раммы, реализуемых за счет бюджетных средств в отчетном периоде;</w:t>
      </w:r>
    </w:p>
    <w:p w:rsidR="00000000" w:rsidRDefault="00E04E21">
      <w:pPr>
        <w:pStyle w:val="newncpi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47650" cy="161925"/>
            <wp:effectExtent l="0" t="0" r="0" b="9525"/>
            <wp:docPr id="8" name="Рисунок 8" descr="C:\fake\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fake\image1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– степень выполнения одного мероприятия Государствен</w:t>
      </w:r>
      <w:r>
        <w:rPr>
          <w:color w:val="000000"/>
        </w:rPr>
        <w:t>ной программы, реализуемого за счет бюджетных средств в отчетном периоде, выражаемая числом от 0 до 1 с двумя знаками после запятой*;</w:t>
      </w:r>
    </w:p>
    <w:p w:rsidR="00000000" w:rsidRDefault="00E04E21">
      <w:pPr>
        <w:pStyle w:val="newncpi"/>
        <w:rPr>
          <w:color w:val="000000"/>
        </w:rPr>
      </w:pPr>
      <w:r>
        <w:rPr>
          <w:i/>
          <w:iCs/>
          <w:color w:val="000000"/>
        </w:rPr>
        <w:t>m</w:t>
      </w:r>
      <w:r>
        <w:rPr>
          <w:color w:val="000000"/>
        </w:rPr>
        <w:t> – общее количество мероприятий Государственной программы, реализуемых за счет бюджетных средств, запланированных к реали</w:t>
      </w:r>
      <w:r>
        <w:rPr>
          <w:color w:val="000000"/>
        </w:rPr>
        <w:t>зации в отчетном периоде.</w:t>
      </w:r>
    </w:p>
    <w:p w:rsidR="00000000" w:rsidRDefault="00E04E2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04E21">
      <w:pPr>
        <w:pStyle w:val="snoski"/>
        <w:spacing w:after="240"/>
        <w:rPr>
          <w:color w:val="000000"/>
        </w:rPr>
      </w:pPr>
      <w:bookmarkStart w:id="10" w:name="a14"/>
      <w:bookmarkEnd w:id="10"/>
      <w:r>
        <w:rPr>
          <w:color w:val="000000"/>
        </w:rPr>
        <w:t>* Степень выполнения мероприятия Государственной программы, реализуемого за счет бюджетных средств в отчетном периоде на 100 процентов, приводится к 1, на 86 процентов, – к 0,86 и так далее.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На второ</w:t>
      </w:r>
      <w:r>
        <w:rPr>
          <w:color w:val="000000"/>
        </w:rPr>
        <w:t>м этапе рассчитывается степень соответствия фактического объема бюджетного финансирования Государственной программы плановому объему финансирования в отчетном периоде по формуле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57225" cy="466725"/>
            <wp:effectExtent l="0" t="0" r="9525" b="9525"/>
            <wp:docPr id="9" name="Рисунок 9" descr="C:\fake\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fake\image1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rPr>
          <w:color w:val="000000"/>
        </w:rPr>
      </w:pPr>
      <w:r>
        <w:rPr>
          <w:color w:val="000000"/>
        </w:rPr>
        <w:t>где    </w:t>
      </w:r>
      <w:r>
        <w:rPr>
          <w:noProof/>
          <w:color w:val="000000"/>
        </w:rPr>
        <w:drawing>
          <wp:inline distT="0" distB="0" distL="0" distR="0">
            <wp:extent cx="276225" cy="180975"/>
            <wp:effectExtent l="0" t="0" r="9525" b="9525"/>
            <wp:docPr id="10" name="Рисунок 10" descr="C:\fake\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fake\image1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– степень соответствия фактического объема бюджетного финансирования Государственной программы плановому объему финансирования в отчетном периоде;</w:t>
      </w:r>
    </w:p>
    <w:p w:rsidR="00000000" w:rsidRDefault="00E04E21">
      <w:pPr>
        <w:pStyle w:val="newncpi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00025" cy="247650"/>
            <wp:effectExtent l="0" t="0" r="9525" b="0"/>
            <wp:docPr id="11" name="Рисунок 11" descr="C:\fake\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fake\image1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– фактический объем бюджетного финансирования Государственной программы в отчетном периоде (кассовые расходы);</w:t>
      </w:r>
    </w:p>
    <w:p w:rsidR="00000000" w:rsidRDefault="00E04E21">
      <w:pPr>
        <w:pStyle w:val="newncpi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90500" cy="247650"/>
            <wp:effectExtent l="0" t="0" r="0" b="0"/>
            <wp:docPr id="12" name="Рисунок 12" descr="C:\fake\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fake\image1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– плановый объем бюджетного финансирования Государственной программы в отчетном периоде (план финансирования в соответствии с действующей редакцией Государственной программы).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На третьем этапе определяется эффективнос</w:t>
      </w:r>
      <w:r>
        <w:rPr>
          <w:color w:val="000000"/>
        </w:rPr>
        <w:t>ть расходования бюджетных средств на реализацию Государственной программы в отчетном периоде по формуле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95325" cy="400050"/>
            <wp:effectExtent l="0" t="0" r="9525" b="0"/>
            <wp:docPr id="13" name="Рисунок 13" descr="C:\fake\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fake\image1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rPr>
          <w:color w:val="000000"/>
        </w:rPr>
      </w:pPr>
      <w:r>
        <w:rPr>
          <w:color w:val="000000"/>
        </w:rPr>
        <w:t>где    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z w:val="18"/>
          <w:szCs w:val="18"/>
          <w:vertAlign w:val="subscript"/>
        </w:rPr>
        <w:t>b</w:t>
      </w:r>
      <w:r>
        <w:rPr>
          <w:color w:val="000000"/>
        </w:rPr>
        <w:t> </w:t>
      </w:r>
      <w:r>
        <w:rPr>
          <w:color w:val="000000"/>
        </w:rPr>
        <w:t>– эффективность расходования бюджетных средств на реализацию Государственной программы в отчетном периоде;</w:t>
      </w:r>
    </w:p>
    <w:p w:rsidR="00000000" w:rsidRDefault="00E04E21">
      <w:pPr>
        <w:pStyle w:val="newncpi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14325" cy="180975"/>
            <wp:effectExtent l="0" t="0" r="9525" b="9525"/>
            <wp:docPr id="14" name="Рисунок 14" descr="C:\fake\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fake\image1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– суммарна</w:t>
      </w:r>
      <w:r>
        <w:rPr>
          <w:color w:val="000000"/>
        </w:rPr>
        <w:t>я оценка выполнения комплекса мероприятий Государственной программы, реализуемых за счет бюджетных средств в отчетном периоде;</w:t>
      </w:r>
    </w:p>
    <w:p w:rsidR="00000000" w:rsidRDefault="00E04E21">
      <w:pPr>
        <w:pStyle w:val="newncpi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76225" cy="180975"/>
            <wp:effectExtent l="0" t="0" r="9525" b="9525"/>
            <wp:docPr id="15" name="Рисунок 15" descr="C:\fake\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fake\image2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– степень соответствия фактического объема бюджетного финансирования Государственной программы плановому объему финансирования в отчетном периоде.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 xml:space="preserve">Расходование бюджетных средств считается эффективным при значении 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z w:val="18"/>
          <w:szCs w:val="18"/>
          <w:vertAlign w:val="subscript"/>
        </w:rPr>
        <w:t>b</w:t>
      </w:r>
      <w:r>
        <w:rPr>
          <w:color w:val="000000"/>
        </w:rPr>
        <w:t> </w:t>
      </w:r>
      <w:r>
        <w:rPr>
          <w:color w:val="000000"/>
          <w:u w:val="single"/>
        </w:rPr>
        <w:t>&gt;</w:t>
      </w:r>
      <w:r>
        <w:rPr>
          <w:color w:val="000000"/>
        </w:rPr>
        <w:t> 70, малоэффективным – при значении от 50 до 69, низкоэффективным – менее 50.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Для оценки достижения целей Государственной программы рассчитывается степень достижения цели Государственной</w:t>
      </w:r>
      <w:r>
        <w:rPr>
          <w:color w:val="000000"/>
        </w:rPr>
        <w:t xml:space="preserve"> программы в отчетном периоде по формуле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019175" cy="447675"/>
            <wp:effectExtent l="0" t="0" r="9525" b="9525"/>
            <wp:docPr id="16" name="Рисунок 16" descr="C:\fake\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fake\image2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rPr>
          <w:color w:val="000000"/>
        </w:rPr>
      </w:pPr>
      <w:r>
        <w:rPr>
          <w:color w:val="000000"/>
        </w:rPr>
        <w:t>где    </w:t>
      </w:r>
      <w:r>
        <w:rPr>
          <w:i/>
          <w:iCs/>
          <w:color w:val="000000"/>
        </w:rPr>
        <w:t>SG</w:t>
      </w:r>
      <w:r>
        <w:rPr>
          <w:color w:val="000000"/>
        </w:rPr>
        <w:t> – степень достижения цели Государственной программы в отчетном</w:t>
      </w:r>
      <w:r>
        <w:rPr>
          <w:color w:val="000000"/>
        </w:rPr>
        <w:t xml:space="preserve"> периоде;</w:t>
      </w:r>
    </w:p>
    <w:p w:rsidR="00000000" w:rsidRDefault="00E04E21">
      <w:pPr>
        <w:pStyle w:val="newncpi"/>
        <w:rPr>
          <w:color w:val="000000"/>
        </w:rPr>
      </w:pPr>
      <w:r>
        <w:rPr>
          <w:i/>
          <w:iCs/>
          <w:color w:val="000000"/>
        </w:rPr>
        <w:t>SD</w:t>
      </w:r>
      <w:r>
        <w:rPr>
          <w:i/>
          <w:iCs/>
          <w:color w:val="000000"/>
          <w:sz w:val="18"/>
          <w:szCs w:val="18"/>
          <w:vertAlign w:val="subscript"/>
        </w:rPr>
        <w:t>p</w:t>
      </w:r>
      <w:r>
        <w:rPr>
          <w:color w:val="000000"/>
        </w:rPr>
        <w:t> – степень достижения планового значения сводного целевого показателя Государственной программы в отчетном периоде;</w:t>
      </w:r>
    </w:p>
    <w:p w:rsidR="00000000" w:rsidRDefault="00E04E21">
      <w:pPr>
        <w:pStyle w:val="newncpi"/>
        <w:rPr>
          <w:color w:val="000000"/>
        </w:rPr>
      </w:pPr>
      <w:r>
        <w:rPr>
          <w:i/>
          <w:iCs/>
          <w:color w:val="000000"/>
        </w:rPr>
        <w:t>y</w:t>
      </w:r>
      <w:r>
        <w:rPr>
          <w:color w:val="000000"/>
        </w:rPr>
        <w:t> – количество сводных целевых показателей Государственной программы в отчетном периоде.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Для оценки эффективности реализации Го</w:t>
      </w:r>
      <w:r>
        <w:rPr>
          <w:color w:val="000000"/>
        </w:rPr>
        <w:t>сударственной программы в целом на первом этапе рассчитывается уровень реализации Государственной программы в отчетном периоде по формуле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552575" cy="638175"/>
            <wp:effectExtent l="0" t="0" r="9525" b="9525"/>
            <wp:docPr id="17" name="Рисунок 17" descr="C:\fake\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fake\image2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rPr>
          <w:color w:val="000000"/>
        </w:rPr>
      </w:pPr>
      <w:r>
        <w:rPr>
          <w:color w:val="000000"/>
        </w:rPr>
        <w:t>где    </w:t>
      </w:r>
      <w:r>
        <w:rPr>
          <w:i/>
          <w:iCs/>
          <w:color w:val="000000"/>
        </w:rPr>
        <w:t>U</w:t>
      </w:r>
      <w:r>
        <w:rPr>
          <w:color w:val="000000"/>
        </w:rPr>
        <w:t> – уровень реализации Государственной программы в отчетном периоде;</w:t>
      </w:r>
    </w:p>
    <w:p w:rsidR="00000000" w:rsidRDefault="00E04E21">
      <w:pPr>
        <w:pStyle w:val="newncpi"/>
        <w:rPr>
          <w:color w:val="000000"/>
        </w:rPr>
      </w:pPr>
      <w:r>
        <w:rPr>
          <w:i/>
          <w:iCs/>
          <w:color w:val="000000"/>
        </w:rPr>
        <w:t>SG</w:t>
      </w:r>
      <w:r>
        <w:rPr>
          <w:color w:val="000000"/>
        </w:rPr>
        <w:t> – степень достижения цели Государственной программы в отчетном периоде;</w:t>
      </w:r>
    </w:p>
    <w:p w:rsidR="00000000" w:rsidRDefault="00E04E21">
      <w:pPr>
        <w:pStyle w:val="newncpi"/>
        <w:rPr>
          <w:color w:val="000000"/>
        </w:rPr>
      </w:pPr>
      <w:r>
        <w:rPr>
          <w:i/>
          <w:iCs/>
          <w:color w:val="000000"/>
        </w:rPr>
        <w:t>SR</w:t>
      </w:r>
      <w:r>
        <w:rPr>
          <w:color w:val="000000"/>
        </w:rPr>
        <w:t> – эффект</w:t>
      </w:r>
      <w:r>
        <w:rPr>
          <w:color w:val="000000"/>
        </w:rPr>
        <w:t>ивность реализации комплекса мероприятий Государственной программы в отчетном периоде;</w:t>
      </w:r>
    </w:p>
    <w:p w:rsidR="00000000" w:rsidRDefault="00E04E21">
      <w:pPr>
        <w:pStyle w:val="newncpi"/>
        <w:rPr>
          <w:color w:val="000000"/>
        </w:rPr>
      </w:pPr>
      <w:r>
        <w:rPr>
          <w:i/>
          <w:iCs/>
          <w:color w:val="000000"/>
        </w:rPr>
        <w:t>SZ</w:t>
      </w:r>
      <w:r>
        <w:rPr>
          <w:color w:val="000000"/>
        </w:rPr>
        <w:t> – степень выполнения задач Государственной программы в отчетном периоде;</w:t>
      </w:r>
    </w:p>
    <w:p w:rsidR="00000000" w:rsidRDefault="00E04E21">
      <w:pPr>
        <w:pStyle w:val="newncpi"/>
        <w:rPr>
          <w:color w:val="000000"/>
        </w:rPr>
      </w:pPr>
      <w:r>
        <w:rPr>
          <w:i/>
          <w:iCs/>
          <w:color w:val="000000"/>
        </w:rPr>
        <w:t>z</w:t>
      </w:r>
      <w:r>
        <w:rPr>
          <w:color w:val="000000"/>
        </w:rPr>
        <w:t> – количество задач Государственной программы.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 xml:space="preserve">На втором этапе рассчитывается эффективность </w:t>
      </w:r>
      <w:r>
        <w:rPr>
          <w:color w:val="000000"/>
        </w:rPr>
        <w:t>Государственной программы в отчетном периоде по формуле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38175" cy="200025"/>
            <wp:effectExtent l="0" t="0" r="9525" b="9525"/>
            <wp:docPr id="18" name="Рисунок 18" descr="C:\fake\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fake\image2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newncpi0"/>
        <w:rPr>
          <w:color w:val="000000"/>
        </w:rPr>
      </w:pPr>
      <w:r>
        <w:rPr>
          <w:color w:val="000000"/>
        </w:rPr>
        <w:t>где    </w:t>
      </w:r>
      <w:r>
        <w:rPr>
          <w:i/>
          <w:iCs/>
          <w:color w:val="000000"/>
        </w:rPr>
        <w:t>E</w:t>
      </w:r>
      <w:r>
        <w:rPr>
          <w:color w:val="000000"/>
        </w:rPr>
        <w:t> – эффективность Государственной программы в отчет</w:t>
      </w:r>
      <w:r>
        <w:rPr>
          <w:color w:val="000000"/>
        </w:rPr>
        <w:t>ном периоде;</w:t>
      </w:r>
    </w:p>
    <w:p w:rsidR="00000000" w:rsidRDefault="00E04E21">
      <w:pPr>
        <w:pStyle w:val="newncpi"/>
        <w:rPr>
          <w:color w:val="000000"/>
        </w:rPr>
      </w:pPr>
      <w:r>
        <w:rPr>
          <w:i/>
          <w:iCs/>
          <w:color w:val="000000"/>
        </w:rPr>
        <w:t>U</w:t>
      </w:r>
      <w:r>
        <w:rPr>
          <w:color w:val="000000"/>
        </w:rPr>
        <w:t> – уровень реализации Государственной программы в отчетном периоде;</w:t>
      </w:r>
    </w:p>
    <w:p w:rsidR="00000000" w:rsidRDefault="00E04E21">
      <w:pPr>
        <w:pStyle w:val="newncpi"/>
        <w:rPr>
          <w:color w:val="000000"/>
        </w:rPr>
      </w:pPr>
      <w:r>
        <w:rPr>
          <w:i/>
          <w:iCs/>
          <w:color w:val="000000"/>
        </w:rPr>
        <w:t>I</w:t>
      </w:r>
      <w:r>
        <w:rPr>
          <w:color w:val="000000"/>
        </w:rPr>
        <w:t> – индекс результативности Государственной программы.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Значение индекса результативности определяется на основании выполнения следующих условий.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При индексе выполнения 1: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сте</w:t>
      </w:r>
      <w:r>
        <w:rPr>
          <w:color w:val="000000"/>
        </w:rPr>
        <w:t>пень достижения всех сводных целевых и целевых показателей Государственной программы составляет не менее 90 процентов, в том числе во всех регионах (областях и г. Минске), по которым они устанавливались;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 xml:space="preserve">степень выполнения всех задач Государственной программы </w:t>
      </w:r>
      <w:r>
        <w:rPr>
          <w:color w:val="000000"/>
          <w:u w:val="single"/>
        </w:rPr>
        <w:t>&gt;</w:t>
      </w:r>
      <w:r>
        <w:rPr>
          <w:color w:val="000000"/>
        </w:rPr>
        <w:t xml:space="preserve"> 95;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представлена обоснованная оценка выполнения всех мероприятий;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эффективность расходования бюджетных средств, рассчитанная по утвержденной методике, составляет не менее 90 процентов.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При индексе в</w:t>
      </w:r>
      <w:r>
        <w:rPr>
          <w:color w:val="000000"/>
        </w:rPr>
        <w:t>ыполнения 0,95: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степень достижения всех сводных целевых и целевых показателей составляет не менее 90 процентов, в том числе во всех регионах (областях и г. Минске), по которым они устанавливались;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представлена обоснованная оценка выполнения всех мероприяти</w:t>
      </w:r>
      <w:r>
        <w:rPr>
          <w:color w:val="000000"/>
        </w:rPr>
        <w:t>й;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степень выполнения всех задач Государственной программы более 90 процентов;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эффективность расходования бюджетных средств, рассчитанная по утвержденной методике, составляет не менее 70 процентов.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При индексе выполнения 0,9: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степень достижения всех сводны</w:t>
      </w:r>
      <w:r>
        <w:rPr>
          <w:color w:val="000000"/>
        </w:rPr>
        <w:t>х целевых и целевых показателей составляет менее 90 процентов, в том числе во всех регионах (областях и г. Минске), по которым они устанавливались;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степень выполнения всех задач Государственной программы менее 90 процентов;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эффективность расходования бюдже</w:t>
      </w:r>
      <w:r>
        <w:rPr>
          <w:color w:val="000000"/>
        </w:rPr>
        <w:t>тных средств, рассчитанная по утвержденной методике, составляет менее 70 процентов.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 xml:space="preserve">При значении </w:t>
      </w:r>
      <w:r>
        <w:rPr>
          <w:i/>
          <w:iCs/>
          <w:color w:val="000000"/>
        </w:rPr>
        <w:t>U</w:t>
      </w:r>
      <w:r>
        <w:rPr>
          <w:color w:val="000000"/>
        </w:rPr>
        <w:t> </w:t>
      </w:r>
      <w:r>
        <w:rPr>
          <w:color w:val="000000"/>
          <w:u w:val="single"/>
        </w:rPr>
        <w:t>&lt;</w:t>
      </w:r>
      <w:r>
        <w:rPr>
          <w:color w:val="000000"/>
        </w:rPr>
        <w:t> 0,849 индекс результативности Государственной программы не применяется.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Государственная программа признается: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эффективной, если значение Е больше 0,85;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сре</w:t>
      </w:r>
      <w:r>
        <w:rPr>
          <w:color w:val="000000"/>
        </w:rPr>
        <w:t>днеэффективной, если значение Е находится в интервале от 0,7 включительно до 0,849;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низкоэффективной, если значение Е находится в интервале от 0,5 включительно до 0,699;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неэффективной, если значение Е меньше 0,5.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append1"/>
              <w:rPr>
                <w:color w:val="000000"/>
              </w:rPr>
            </w:pPr>
            <w:bookmarkStart w:id="11" w:name="a3"/>
            <w:bookmarkEnd w:id="11"/>
            <w:r>
              <w:rPr>
                <w:color w:val="000000"/>
              </w:rPr>
              <w:t>Приложение 1</w:t>
            </w:r>
          </w:p>
          <w:p w:rsidR="00000000" w:rsidRDefault="00E04E2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Государственной программе</w:t>
            </w:r>
            <w:r>
              <w:rPr>
                <w:color w:val="000000"/>
              </w:rPr>
              <w:br/>
              <w:t>«Устойчивое предпринимательство»</w:t>
            </w:r>
            <w:r>
              <w:rPr>
                <w:color w:val="000000"/>
              </w:rPr>
              <w:br/>
              <w:t xml:space="preserve">на 2026–2030 годы </w:t>
            </w:r>
          </w:p>
        </w:tc>
      </w:tr>
    </w:tbl>
    <w:p w:rsidR="00000000" w:rsidRDefault="00E04E21">
      <w:pPr>
        <w:pStyle w:val="titlep"/>
        <w:jc w:val="left"/>
        <w:rPr>
          <w:color w:val="000000"/>
        </w:rPr>
      </w:pPr>
      <w:r>
        <w:rPr>
          <w:color w:val="000000"/>
        </w:rPr>
        <w:t>СВЕДЕНИЯ</w:t>
      </w:r>
      <w:r>
        <w:rPr>
          <w:color w:val="000000"/>
        </w:rPr>
        <w:br/>
        <w:t>о сводных целевых и целевых показателях и их значениях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027"/>
        <w:gridCol w:w="1301"/>
        <w:gridCol w:w="729"/>
        <w:gridCol w:w="729"/>
        <w:gridCol w:w="729"/>
        <w:gridCol w:w="729"/>
        <w:gridCol w:w="729"/>
        <w:gridCol w:w="729"/>
        <w:gridCol w:w="761"/>
      </w:tblGrid>
      <w:tr w:rsidR="00000000">
        <w:trPr>
          <w:trHeight w:val="240"/>
        </w:trPr>
        <w:tc>
          <w:tcPr>
            <w:tcW w:w="1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Заказчик</w:t>
            </w:r>
          </w:p>
        </w:tc>
        <w:tc>
          <w:tcPr>
            <w:tcW w:w="18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Значения показателей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базовый период 2025 год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>
              <w:rPr>
                <w:color w:val="000000"/>
              </w:rPr>
              <w:t> год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2027 год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2028 год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2029 год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2030 год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итоговое значение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Сводные целевые показатели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 Среднегодовой прирост налоговых поступлений от субъектов МСП в бюджеты: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12,3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Брестской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11,8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Витебской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Гомельской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Гродненской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Минской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Могилевской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г. Минска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2. Удельный вес валовой добавленной стоимости, формируемой субъектами МСП в валовой добавленной стоимости: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32,3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Брестской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26,7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27,4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Витебской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Гомельской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16,8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17,4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Гродненской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20,1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20,2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20,6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20,7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20,7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Минской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35,2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35,9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Могилевской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25,2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г. Минска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43,3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44,5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Целевые показатели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Задача. Стимулирование развития субъектов МСП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3. Превышение темпов роста выручки от реализации продукции, товаров, работ, услуг субъектов МСП над темпами роста: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процентных пунктов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валового внутреннего продукта Республики Беларусь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валового регионального продукта Брестской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валового регионального продукта Витебской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валового регионального продукта Гомельской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валового регионального продукта Гродненской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валового регионального продукта Минской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валового регионального продукта Моги</w:t>
            </w:r>
            <w:r>
              <w:rPr>
                <w:color w:val="000000"/>
              </w:rPr>
              <w:t>левской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валового регионального продукта г. Минска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4. Количество оказываемых услуг субъектам МСП, гражданам, планирующим осуществлять предпринимательскую деятельность, в расчете на одного субъекта инфраструктуры поддержки МСП: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Республике Беларусь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790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Брестской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Витебской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1550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1590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1630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1680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1730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1730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Гомельской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640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690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Гродненской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930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Минской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Могилевской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590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640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640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г. Минске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1140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1160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1190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1220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Задача. Создание комфортного бизнес-климата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Темпы роста инвестиций субъектов МСП в основной капитал к уровню прошлого года: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112,4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111,0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113,8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113,8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Брестской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103,0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103,0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103,0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103,0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103,0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103,0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103,0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Витебской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106,9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108,5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Гомельской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103,2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103,3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103,4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103,5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Гродненской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106,6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108,0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108,5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109,0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109,0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Минской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115,0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116,5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118,0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118,5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118,5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Могилевской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108,5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111,6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112,4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111,5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110,4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110,4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г. Минска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109,1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110,7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114,9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116,0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6. Количество юридических лиц – субъектов МСП на 1 тыс. занятых в экономике: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33,6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Брестской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Витебской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Гомельской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Гродненской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Минской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33,9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Могилевской области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21,9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</w:tr>
      <w:tr w:rsidR="00000000">
        <w:trPr>
          <w:trHeight w:val="240"/>
        </w:trPr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г. Минска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53,2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53,5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53,6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</w:tr>
    </w:tbl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6"/>
        <w:gridCol w:w="405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append1"/>
              <w:rPr>
                <w:color w:val="000000"/>
              </w:rPr>
            </w:pPr>
            <w:bookmarkStart w:id="12" w:name="a4"/>
            <w:bookmarkEnd w:id="12"/>
            <w:r>
              <w:rPr>
                <w:color w:val="000000"/>
              </w:rPr>
              <w:t>Приложение 2</w:t>
            </w:r>
          </w:p>
          <w:p w:rsidR="00000000" w:rsidRDefault="00E04E2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Государственной программе</w:t>
            </w:r>
            <w:r>
              <w:rPr>
                <w:color w:val="000000"/>
              </w:rPr>
              <w:br/>
              <w:t>«Устойчивое предпринимательство»</w:t>
            </w:r>
            <w:r>
              <w:rPr>
                <w:color w:val="000000"/>
              </w:rPr>
              <w:br/>
              <w:t xml:space="preserve">на 2026–2030 годы </w:t>
            </w:r>
          </w:p>
        </w:tc>
      </w:tr>
    </w:tbl>
    <w:p w:rsidR="00000000" w:rsidRDefault="00E04E21">
      <w:pPr>
        <w:pStyle w:val="titlep"/>
        <w:jc w:val="left"/>
        <w:rPr>
          <w:color w:val="000000"/>
        </w:rPr>
      </w:pPr>
      <w:r>
        <w:rPr>
          <w:color w:val="000000"/>
        </w:rPr>
        <w:t>СВЕДЕНИЯ</w:t>
      </w:r>
      <w:r>
        <w:rPr>
          <w:color w:val="000000"/>
        </w:rPr>
        <w:br/>
        <w:t>о расчете сводных целевых и целевых показателей и представлении данных по ним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2693"/>
        <w:gridCol w:w="2126"/>
        <w:gridCol w:w="4535"/>
        <w:gridCol w:w="1841"/>
        <w:gridCol w:w="1468"/>
      </w:tblGrid>
      <w:tr w:rsidR="00000000">
        <w:trPr>
          <w:trHeight w:val="240"/>
        </w:trPr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показателя, единица измерения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Алгоритм формирования (формула) и методологические пояснения к показателю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Особенности расчета значения показателя с нарастающим итогом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Показатели, используемые в формуле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 сбора информации, формы отчетности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</w:t>
            </w:r>
            <w:r>
              <w:rPr>
                <w:color w:val="000000"/>
              </w:rPr>
              <w:t>риодичность и временные характеристики показателя</w:t>
            </w: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 Среднегодовой прирост налоговых поступлений от субъектов МСП, процентов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228725" cy="276225"/>
                  <wp:effectExtent l="0" t="0" r="9525" b="9525"/>
                  <wp:docPr id="19" name="Рисунок 19" descr="C:\fake\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fake\image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начиная с 2025 года налоговые поступления указываются с учетом физических лиц, осуществляющих индивидуальную предпринимательскую деятельность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Закон Республики Беларусь «Об изменении законов</w:t>
            </w:r>
            <w:r>
              <w:rPr>
                <w:color w:val="000000"/>
              </w:rPr>
              <w:t xml:space="preserve"> по вопросам предпринимательской деятельности»)</w:t>
            </w:r>
          </w:p>
        </w:tc>
        <w:tc>
          <w:tcPr>
            <w:tcW w:w="139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k – коэффициент, рассчитываемый как отношение налоговых поступлений в отчетном году к налоговым поступлениям в базовом 2025 году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МНС (территориальные органы) в части предоставления сведений о налоговых поступ</w:t>
            </w:r>
            <w:r>
              <w:rPr>
                <w:color w:val="000000"/>
              </w:rPr>
              <w:t>лениях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n – количество прошедших отчетных лет (без учета базового 2025 года)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 Удельный вес валовой добавленной стоимости, формируемой субъектами МСП, в валовой добавленной стоимости Республики Беларусь или области (г. Минска), процентов</w:t>
            </w:r>
          </w:p>
        </w:tc>
        <w:tc>
          <w:tcPr>
            <w:tcW w:w="83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V </w:t>
            </w:r>
            <w:r>
              <w:rPr>
                <w:color w:val="000000"/>
              </w:rPr>
              <w:t>= V</w:t>
            </w:r>
            <w:r>
              <w:rPr>
                <w:color w:val="000000"/>
                <w:sz w:val="15"/>
                <w:szCs w:val="15"/>
                <w:vertAlign w:val="subscript"/>
              </w:rPr>
              <w:t>ВДС МСП</w:t>
            </w:r>
            <w:r>
              <w:rPr>
                <w:color w:val="000000"/>
              </w:rPr>
              <w:t xml:space="preserve"> / V</w:t>
            </w:r>
            <w:r>
              <w:rPr>
                <w:color w:val="000000"/>
                <w:sz w:val="15"/>
                <w:szCs w:val="15"/>
                <w:vertAlign w:val="subscript"/>
              </w:rPr>
              <w:t>ВДС</w:t>
            </w:r>
            <w:r>
              <w:rPr>
                <w:color w:val="000000"/>
              </w:rPr>
              <w:t xml:space="preserve"> х 100 %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9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V</w:t>
            </w:r>
            <w:r>
              <w:rPr>
                <w:color w:val="000000"/>
                <w:sz w:val="15"/>
                <w:szCs w:val="15"/>
                <w:vertAlign w:val="subscript"/>
              </w:rPr>
              <w:t>ВДС МСП</w:t>
            </w:r>
            <w:r>
              <w:rPr>
                <w:color w:val="000000"/>
              </w:rPr>
              <w:t xml:space="preserve"> – валовая добавленная стоимость, формируемая субъектами МСП</w:t>
            </w:r>
          </w:p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V</w:t>
            </w:r>
            <w:r>
              <w:rPr>
                <w:color w:val="000000"/>
                <w:sz w:val="15"/>
                <w:szCs w:val="15"/>
                <w:vertAlign w:val="subscript"/>
              </w:rPr>
              <w:t>ВДС</w:t>
            </w:r>
            <w:r>
              <w:rPr>
                <w:color w:val="000000"/>
              </w:rPr>
              <w:t> – валовая добавленная стоимость Республики Беларусь или области (г. Минска)</w:t>
            </w:r>
          </w:p>
        </w:tc>
        <w:tc>
          <w:tcPr>
            <w:tcW w:w="56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Белстат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3. Превышение темпов роста выручки от </w:t>
            </w:r>
            <w:r>
              <w:rPr>
                <w:color w:val="000000"/>
              </w:rPr>
              <w:t>реализации продукции, товаров, работ, услуг субъектов МСП над темпами роста валового внутреннего продукта (далее – ВВП) или валового регионального продукта (далее – ВРП), процентных пунктов</w:t>
            </w:r>
          </w:p>
        </w:tc>
        <w:tc>
          <w:tcPr>
            <w:tcW w:w="83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T = t</w:t>
            </w:r>
            <w:r>
              <w:rPr>
                <w:color w:val="000000"/>
                <w:sz w:val="15"/>
                <w:szCs w:val="15"/>
                <w:vertAlign w:val="subscript"/>
              </w:rPr>
              <w:t>выручки</w:t>
            </w:r>
            <w:r>
              <w:rPr>
                <w:color w:val="000000"/>
              </w:rPr>
              <w:t> – t</w:t>
            </w:r>
            <w:r>
              <w:rPr>
                <w:color w:val="000000"/>
                <w:sz w:val="15"/>
                <w:szCs w:val="15"/>
                <w:vertAlign w:val="subscript"/>
              </w:rPr>
              <w:t>ВВП</w:t>
            </w:r>
          </w:p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T = t</w:t>
            </w:r>
            <w:r>
              <w:rPr>
                <w:color w:val="000000"/>
                <w:sz w:val="15"/>
                <w:szCs w:val="15"/>
                <w:vertAlign w:val="subscript"/>
              </w:rPr>
              <w:t>выручки</w:t>
            </w:r>
            <w:r>
              <w:rPr>
                <w:color w:val="000000"/>
              </w:rPr>
              <w:t> – t</w:t>
            </w:r>
            <w:r>
              <w:rPr>
                <w:color w:val="000000"/>
                <w:sz w:val="15"/>
                <w:szCs w:val="15"/>
                <w:vertAlign w:val="subscript"/>
              </w:rPr>
              <w:t>ВРП</w:t>
            </w:r>
          </w:p>
        </w:tc>
        <w:tc>
          <w:tcPr>
            <w:tcW w:w="656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t</w:t>
            </w:r>
            <w:r>
              <w:rPr>
                <w:color w:val="000000"/>
                <w:sz w:val="15"/>
                <w:szCs w:val="15"/>
                <w:vertAlign w:val="subscript"/>
              </w:rPr>
              <w:t>выручки</w:t>
            </w:r>
            <w:r>
              <w:rPr>
                <w:color w:val="000000"/>
              </w:rPr>
              <w:t> – темпы роста в</w:t>
            </w:r>
            <w:r>
              <w:rPr>
                <w:color w:val="000000"/>
              </w:rPr>
              <w:t xml:space="preserve">ыручки от реализации продукции, товаров, работ, услуг субъектов МСП (включая юридические лица и индивидуальных предпринимателей). Рассчитывается как отношение выручки в отчетном году к выручке в предыдущем году, умноженное на 100 процентов </w:t>
            </w:r>
          </w:p>
        </w:tc>
        <w:tc>
          <w:tcPr>
            <w:tcW w:w="56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t</w:t>
            </w:r>
            <w:r>
              <w:rPr>
                <w:color w:val="000000"/>
                <w:sz w:val="15"/>
                <w:szCs w:val="15"/>
                <w:vertAlign w:val="subscript"/>
              </w:rPr>
              <w:t>ВВП</w:t>
            </w:r>
            <w:r>
              <w:rPr>
                <w:color w:val="000000"/>
              </w:rPr>
              <w:t xml:space="preserve"> – </w:t>
            </w:r>
            <w:r>
              <w:rPr>
                <w:color w:val="000000"/>
              </w:rPr>
              <w:t>темпы роста ВВП с учетом применения дефлятора ВВП к фактическим темпам роста. Рассчитывается как отношение ВВП в отчетном году к ВВП в предыдущем году, умноженное на 100 процентов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t</w:t>
            </w:r>
            <w:r>
              <w:rPr>
                <w:color w:val="000000"/>
                <w:sz w:val="15"/>
                <w:szCs w:val="15"/>
                <w:vertAlign w:val="subscript"/>
              </w:rPr>
              <w:t>ВРП</w:t>
            </w:r>
            <w:r>
              <w:rPr>
                <w:color w:val="000000"/>
              </w:rPr>
              <w:t> – темпы роста ВРП с учетом применения дефлятора ВРП к фактическим</w:t>
            </w:r>
            <w:r>
              <w:rPr>
                <w:color w:val="000000"/>
              </w:rPr>
              <w:t xml:space="preserve"> темпам роста. Рассчитывается как отношение ВРП в отчетном году к ВРП в предыдущем году, умноженное на 100 процентов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4. Количество оказываемых услуг субъектам МСП, гражданам, планирующим осуществлять предпринимательскую деятельность, в расчете на </w:t>
            </w:r>
            <w:r>
              <w:rPr>
                <w:color w:val="000000"/>
              </w:rPr>
              <w:t>одного субъекта инфраструктуры поддержки МСП, единиц</w:t>
            </w:r>
          </w:p>
        </w:tc>
        <w:tc>
          <w:tcPr>
            <w:tcW w:w="83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S = b / d</w:t>
            </w:r>
          </w:p>
        </w:tc>
        <w:tc>
          <w:tcPr>
            <w:tcW w:w="656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b – количество услуг, оказанных субъектами инфраструктуры поддержки МСП в отчетном году (включают в себя количество клиентов, которым оказаны услуги) </w:t>
            </w:r>
          </w:p>
        </w:tc>
        <w:tc>
          <w:tcPr>
            <w:tcW w:w="56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субъекты инфраструктуры поддержки МСП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d – количество субъектов инфраструктуры поддержки МСП (центров поддержки предпринимательства и инкубаторов малого предпринимательства) на конец отчетного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Темпы роста инвестиций субъектов МСП в основной капитал к уровню прошлого года, процент</w:t>
            </w:r>
            <w:r>
              <w:rPr>
                <w:color w:val="000000"/>
              </w:rPr>
              <w:t>ов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T</w:t>
            </w:r>
            <w:r>
              <w:rPr>
                <w:color w:val="000000"/>
                <w:sz w:val="15"/>
                <w:szCs w:val="15"/>
                <w:vertAlign w:val="subscript"/>
              </w:rPr>
              <w:t>инвестиций</w:t>
            </w:r>
            <w:r>
              <w:rPr>
                <w:color w:val="000000"/>
              </w:rPr>
              <w:t xml:space="preserve"> = t</w:t>
            </w:r>
            <w:r>
              <w:rPr>
                <w:color w:val="000000"/>
                <w:sz w:val="15"/>
                <w:szCs w:val="15"/>
                <w:vertAlign w:val="subscript"/>
              </w:rPr>
              <w:t>1</w:t>
            </w:r>
            <w:r>
              <w:rPr>
                <w:color w:val="000000"/>
              </w:rPr>
              <w:t xml:space="preserve"> / t</w:t>
            </w:r>
            <w:r>
              <w:rPr>
                <w:color w:val="000000"/>
                <w:sz w:val="15"/>
                <w:szCs w:val="15"/>
                <w:vertAlign w:val="subscript"/>
              </w:rPr>
              <w:t>2</w:t>
            </w:r>
            <w:r>
              <w:rPr>
                <w:color w:val="000000"/>
              </w:rPr>
              <w:t xml:space="preserve"> х 100 %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t</w:t>
            </w:r>
            <w:r>
              <w:rPr>
                <w:color w:val="000000"/>
                <w:sz w:val="15"/>
                <w:szCs w:val="15"/>
                <w:vertAlign w:val="subscript"/>
              </w:rPr>
              <w:t>1</w:t>
            </w:r>
            <w:r>
              <w:rPr>
                <w:color w:val="000000"/>
              </w:rPr>
              <w:t> – инвестиции субъектов МСП в основной капитал в отчетном году</w:t>
            </w:r>
          </w:p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t</w:t>
            </w:r>
            <w:r>
              <w:rPr>
                <w:color w:val="000000"/>
                <w:sz w:val="15"/>
                <w:szCs w:val="15"/>
                <w:vertAlign w:val="subscript"/>
              </w:rPr>
              <w:t>2</w:t>
            </w:r>
            <w:r>
              <w:rPr>
                <w:color w:val="000000"/>
              </w:rPr>
              <w:t xml:space="preserve"> – инвестиции субъектов МСП в основной капитал в предыдущем году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Белстат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6. Количество юридических лиц – субъектов МСП на 1 тыс. занятых в </w:t>
            </w:r>
            <w:r>
              <w:rPr>
                <w:color w:val="000000"/>
              </w:rPr>
              <w:t>экономике, единиц</w:t>
            </w:r>
          </w:p>
        </w:tc>
        <w:tc>
          <w:tcPr>
            <w:tcW w:w="831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Z = f / h х 1000</w:t>
            </w:r>
          </w:p>
        </w:tc>
        <w:tc>
          <w:tcPr>
            <w:tcW w:w="656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f – количество юридических лиц – субъектов МСП на конец отчетного периода 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h – численность занятого населения в среднем за период (человек)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Белстат (статистика труда)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6"/>
        <w:gridCol w:w="405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append1"/>
              <w:rPr>
                <w:color w:val="000000"/>
              </w:rPr>
            </w:pPr>
            <w:bookmarkStart w:id="13" w:name="a5"/>
            <w:bookmarkEnd w:id="13"/>
            <w:r>
              <w:rPr>
                <w:color w:val="000000"/>
              </w:rPr>
              <w:t>Приложение 3</w:t>
            </w:r>
          </w:p>
          <w:p w:rsidR="00000000" w:rsidRDefault="00E04E2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Государственной програм</w:t>
            </w:r>
            <w:r>
              <w:rPr>
                <w:color w:val="000000"/>
              </w:rPr>
              <w:t>ме</w:t>
            </w:r>
            <w:r>
              <w:rPr>
                <w:color w:val="000000"/>
              </w:rPr>
              <w:br/>
              <w:t>«Устойчивое предпринимательство»</w:t>
            </w:r>
            <w:r>
              <w:rPr>
                <w:color w:val="000000"/>
              </w:rPr>
              <w:br/>
              <w:t xml:space="preserve">на 2026–2030 годы </w:t>
            </w:r>
          </w:p>
        </w:tc>
      </w:tr>
    </w:tbl>
    <w:p w:rsidR="00000000" w:rsidRDefault="00E04E21">
      <w:pPr>
        <w:pStyle w:val="titlep"/>
        <w:jc w:val="left"/>
        <w:rPr>
          <w:color w:val="000000"/>
        </w:rPr>
      </w:pPr>
      <w:r>
        <w:rPr>
          <w:color w:val="000000"/>
        </w:rPr>
        <w:t>КОМПЛЕКС МЕРОПРИЯТИЙ</w:t>
      </w:r>
      <w:r>
        <w:rPr>
          <w:color w:val="000000"/>
        </w:rPr>
        <w:br/>
        <w:t>по реализации Государственной программы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9"/>
        <w:gridCol w:w="4052"/>
        <w:gridCol w:w="5530"/>
        <w:gridCol w:w="4053"/>
      </w:tblGrid>
      <w:tr w:rsidR="00000000">
        <w:trPr>
          <w:trHeight w:val="240"/>
        </w:trPr>
        <w:tc>
          <w:tcPr>
            <w:tcW w:w="2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реализации, годы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Заказчики и (или) ответственные за реализацию мероприятий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Задача. Стимулирование развития субъектов МСП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Содействие развитию институтов поддержки бизнеса и информационных сервисов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 Оказание государственной финансовой поддержки субъектам инфраструктуры поддержки МСП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постановлением Совета </w:t>
            </w:r>
            <w:r>
              <w:rPr>
                <w:color w:val="000000"/>
              </w:rPr>
              <w:t>Министров Республики Беларусь от 28 июня 2024 г. № 459 «О мерах государственной поддержки малого и среднего предпринимательства»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 Создание на </w:t>
            </w:r>
            <w:r>
              <w:rPr>
                <w:color w:val="000000"/>
              </w:rPr>
              <w:t>базе БФФПП Центра развития предпринимательства, осуществляющего взаимодействие с субъектами инфраструктуры поддержки МСП в регионах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2026–2029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«Банк развития Республики Беларусь», БФФПП, Минский горисполком, Минэкономики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3. Внедрение системы показате</w:t>
            </w:r>
            <w:r>
              <w:rPr>
                <w:color w:val="000000"/>
              </w:rPr>
              <w:t>лей эффективности (KPI) работы субъектов инфраструктуры поддержки МСП, проведения оценки соответствия (аттестации)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2026–2028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облисполкомы, Минский горисполком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4. Определение базового пакета услуг, предоставляемого субъектами инфраструктуры</w:t>
            </w:r>
            <w:r>
              <w:rPr>
                <w:color w:val="000000"/>
              </w:rPr>
              <w:t xml:space="preserve"> поддержки МСП на безвозмездной основе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2026–2028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Развитие институтов поддержки научно-технической и инновационной деятельности, предусматривающее:</w:t>
            </w:r>
          </w:p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5.1. рост количества резидентов технопарков до 50 единиц к 2030 году</w:t>
            </w:r>
          </w:p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5.2. рост количества заключенны</w:t>
            </w:r>
            <w:r>
              <w:rPr>
                <w:color w:val="000000"/>
              </w:rPr>
              <w:t>х сделок по передаче (приобретению) прав на результаты научно-технической и (или) инновационной деятельности сделок</w:t>
            </w:r>
          </w:p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5.3. изменение установленного ограниченного срока действия фондов инновационного развития технопарков на бессрочное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ГКНТ совместно</w:t>
            </w:r>
            <w:r>
              <w:rPr>
                <w:color w:val="000000"/>
              </w:rPr>
              <w:t xml:space="preserve"> с Минпромом, Минстройархитектуры, Минсельхозпродом, Госстандартом, НАН Беларуси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6. Создание (разработка) информационной системы «Цифровая платформа для субъектов малого и среднего предпринимательства» 2-й очереди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</w:t>
            </w:r>
            <w:r>
              <w:rPr>
                <w:color w:val="000000"/>
              </w:rPr>
              <w:t>«Банк развития Республики Беларусь», БФФПП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средства ОАО «Банк развития Республики Беларусь» (в том числе привлеченные)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7. Интеграция информационной системы «Цифровая платформа для субъектов малого и среднего предпринимательства» с банковскими сервисами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>
              <w:rPr>
                <w:color w:val="000000"/>
              </w:rPr>
              <w:t>26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8. Внедрение цифровых инструментов в процессы администрирования деятельности советов по развитию предпринимательства всех уровней и общественно-консультативных (экспертных) советов по развитию предпринимательства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республикан</w:t>
            </w:r>
            <w:r>
              <w:rPr>
                <w:color w:val="000000"/>
              </w:rPr>
              <w:t>ские органы государственного управления, облисполкомы, Минский горисполком, ПРООН*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Ресурсное обеспечение субъектов МСП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9. Оказание государственной финансовой поддержки субъектам МСП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постановлением Совета Министров Республики Беларус</w:t>
            </w:r>
            <w:r>
              <w:rPr>
                <w:color w:val="000000"/>
              </w:rPr>
              <w:t>ь от 28 июня 2024 г. № 459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Минский горисполком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БФФПП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 (средства, выделяемые БФФПП), собственные средства БФФПП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10. Внедрение и реализация механизма по </w:t>
            </w:r>
            <w:r>
              <w:rPr>
                <w:color w:val="000000"/>
              </w:rPr>
              <w:t>возмещению части капитальных затрат субъектам МСП при реализации ими инвестиционных проектов, реализуемых с привлечением кредитных ресурсов ОАО «Банк развития Республики Беларусь»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«Банк развития Республики Беларусь», БФФПП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11. Создание нов</w:t>
            </w:r>
            <w:r>
              <w:rPr>
                <w:color w:val="000000"/>
              </w:rPr>
              <w:t>ых (дополнительных) источников и форм финансирования, включая небанковские финансовые инструменты поддержки субъектов предпринимательской деятельности (краудфандинг, краудинвестинг и другое)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12. Расширение перечня специальных банк</w:t>
            </w:r>
            <w:r>
              <w:rPr>
                <w:color w:val="000000"/>
              </w:rPr>
              <w:t>овских продуктов при предоставлении кредитных ресурсов для субъектов МСП – коммерческих организаций, осуществляющих деятельность по производству продукции в рамках инновационного развития и импортозамещения, увеличения экспортных поставок, а также осуществ</w:t>
            </w:r>
            <w:r>
              <w:rPr>
                <w:color w:val="000000"/>
              </w:rPr>
              <w:t>ляющих деятельность по экспорту услуг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«Банк развития Республики Беларусь», ОАО «АСБ Беларусбанк», ОАО «Белагропромбанк», ОАО «Белинвестбанк»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13. Реализация механизма финансового содействия при реализации субъектами МСП государств – членов </w:t>
            </w:r>
            <w:r>
              <w:rPr>
                <w:color w:val="000000"/>
              </w:rPr>
              <w:t xml:space="preserve">Евразийского экономического союза совместных кооперационных проектов в промышленности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БФФПП, ОАО «АСБ Беларусбанк», ОАО «Белагропромбанк», ОАО «Белинвестбанк», ОАО «Банк развития Республики Беларусь» (в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распоряжением </w:t>
            </w:r>
            <w:r>
              <w:rPr>
                <w:color w:val="000000"/>
              </w:rPr>
              <w:t>Совета Евразийской экономической комиссии от 12 декабря 2023 г. № 47 «О перечне финансовых организаций, участвующих в механизме финансового содействия при реализации государствами – членами Евразийского экономического союза совместных кооперационных проект</w:t>
            </w:r>
            <w:r>
              <w:rPr>
                <w:color w:val="000000"/>
              </w:rPr>
              <w:t>ов в отраслях промышленности»)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14. Реализация собственных программ финансовой поддержки МСП (в том числе за счет привлеченных денежных средств международных организаций)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«Банк развития Республики Беларусь»**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средства ОАО «Банк развития Рес</w:t>
            </w:r>
            <w:r>
              <w:rPr>
                <w:color w:val="000000"/>
              </w:rPr>
              <w:t>публики Беларусь» (в том числе привлеченные)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«АСБ Беларусбанк»***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средства ОАО «АСБ Беларусбанк», в том числе за счет привлеченных средств (за исключением средств ОАО «Банк развития Республики Беларусь»)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«Белагропромбанк»***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средства ОАО </w:t>
            </w:r>
            <w:r>
              <w:rPr>
                <w:color w:val="000000"/>
              </w:rPr>
              <w:t>«Белагропромбанк», в том числе за счет привлеченных средств (за исключением средств ОАО «Банк развития Республики Беларусь»)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«Белинвестбанк»***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средства ОАО «Белинвестбанк», в том числе за счет привлеченных средств (за исключением средств ОАО «Бан</w:t>
            </w:r>
            <w:r>
              <w:rPr>
                <w:color w:val="000000"/>
              </w:rPr>
              <w:t>к развития Республики Беларусь»)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Расширение инструментов нефинансовой поддержки для отдельных категорий субъектов предпринимательской деятельности и инициативных граждан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15. Предоставление крупными производственными компаниями доступа к </w:t>
            </w:r>
            <w:r>
              <w:rPr>
                <w:color w:val="000000"/>
              </w:rPr>
              <w:t>производственным мощностям малым производственным компаниям на договорной основе (при наличии свободных мощностей)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Минпром, Минсвязи, Минстройархитектуры, НАН Беларуси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16. Внедрение цифровых сервисов информационно-кооперационной платформы для </w:t>
            </w:r>
            <w:r>
              <w:rPr>
                <w:color w:val="000000"/>
              </w:rPr>
              <w:t>организаций Республики Беларусь и поддержки бизнеса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2028–2030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Минпром, МАРТ, Минсвязи, республиканские органы государственного управления 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17. Проведение бирж субконтрактов в промышленности и иных мероприятий по вовлечению субъектов МСП в кооперационные</w:t>
            </w:r>
            <w:r>
              <w:rPr>
                <w:color w:val="000000"/>
              </w:rPr>
              <w:t xml:space="preserve"> цепочки крупных промышленных организаций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БФФПП, Минэкономики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собственные средства БФФПП, республиканский бюджет (средства, выделяемые Минэкономики)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18. Реализация проекта «Поддержка молодежной инициативы» среди студентов высших учебных заведени</w:t>
            </w:r>
            <w:r>
              <w:rPr>
                <w:color w:val="000000"/>
              </w:rPr>
              <w:t xml:space="preserve">й с креативными бизнес-идеями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ОАО «АСБ Беларусбанк», ООО «АСБ Консалт»***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19. Организационно-информационная поддержка стартап-движения, в том числе проведение стартап-мероприятий, бизнес-викторин, конкурсов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облисполком, Минский горисполком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20. Развитие института менторства на базе субъектов инфраструктуры для поддержки «серебряного» предпринимательства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2026–2028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Минэкономики, облисполкомы, Минский горисполком, ПРООН* 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21. Взаим</w:t>
            </w:r>
            <w:r>
              <w:rPr>
                <w:color w:val="000000"/>
              </w:rPr>
              <w:t xml:space="preserve">одействие центров поддержки предпринимательства с территориальными центрами социального обслуживания населения в части организации обучающих и информационных мероприятий по вопросам предпринимательства для граждан старшего возраста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Минтруда и соцзащи</w:t>
            </w:r>
            <w:r>
              <w:rPr>
                <w:color w:val="000000"/>
              </w:rPr>
              <w:t>ты, Минэкономики, облисполкомы, Минский горисполком, ПРООН*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22. Размещение социальной рекламы, ориентированной на вовлечение людей старшего возраста в предпринимательскую деятельность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облисполкомы, Минский горисполком, МАРТ, Мини</w:t>
            </w:r>
            <w:r>
              <w:rPr>
                <w:color w:val="000000"/>
              </w:rPr>
              <w:t xml:space="preserve">нформ, Минтруда и соцзащиты, ПРООН* 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23. Оказание гражданам, осуществляющим самостоятельную профессиональную деятельность, бесплатных информационно-консультационных и обучающих услуг субъектами инфраструктуры поддержки МСП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2027–2030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облисполкомы, Минск</w:t>
            </w:r>
            <w:r>
              <w:rPr>
                <w:color w:val="000000"/>
              </w:rPr>
              <w:t>ий горисполком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Содействие развитию компетенций и навыков субъектов предпринимательской деятельности, повышение квалификации государственных служащих по вопросам регулирования предпринимательской деятельности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24. Организация обучающих курсов по </w:t>
            </w:r>
            <w:r>
              <w:rPr>
                <w:color w:val="000000"/>
              </w:rPr>
              <w:t>вопросам развития креативных индустрий, «серебряного» предпринимательства, социального предпринимательства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Академия управления при Президенте Республики Беларусь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25. Совершенствование системы бизнес-образования в целях повышения доступности по</w:t>
            </w:r>
            <w:r>
              <w:rPr>
                <w:color w:val="000000"/>
              </w:rPr>
              <w:t xml:space="preserve">лучения знаний, необходимых для выполнения функций управления в коммерческих организациях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Минобразование, Академия управления при Президенте Республики Беларусь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26. Организация повышения квалификации руководителей, заместителей </w:t>
            </w:r>
            <w:r>
              <w:rPr>
                <w:color w:val="000000"/>
              </w:rPr>
              <w:t>руководителей комитетов, управлений (отделов) экономики облисполкомов и Минского горисполкома, горисполкомов, райисполкомов, курирующих вопросы предпринимательской деятельности, и лиц, включенных в резерв на эти должности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Академия управления при </w:t>
            </w:r>
            <w:r>
              <w:rPr>
                <w:color w:val="000000"/>
              </w:rPr>
              <w:t>Президенте Республики Беларусь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Популяризация предпринимательской деятельности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27. Организация и проведение мероприятий Белорусской недели предпринимательства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БФФПП, облисполкомы, Минский горисполком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собственные средства БФФПП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28. Организация и проведение национального конкурса «Предприниматель года»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облисполкомы, Минский горисполком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республиканский бюджет (средства, выделяемые Минэкономики), местные бюджеты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29. Организация и проведение конкурса «Бизне</w:t>
            </w:r>
            <w:r>
              <w:rPr>
                <w:color w:val="000000"/>
              </w:rPr>
              <w:t>сМАМА»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ОАО «Белинвестбанк», общественное объединение «Белорусский союз женщин» (далее – ОО «БСЖ»)***, Минтруда и соцзащиты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30. Реализация проекта «Нежность белорусского бизнеса» (популяризация женского предпринимательства)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</w:t>
            </w:r>
            <w:r>
              <w:rPr>
                <w:color w:val="000000"/>
              </w:rPr>
              <w:t>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ОАО «Белинвестбанк», ОО «БСЖ»***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31. Реализация проекта «Ресурсы и возможности» (поддержка женского предпринимательства)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ОО «БСЖ»***, ОАО «Белинвестбанк», ОАО «Белагропромбанк», ОАО «АСБ Беларусбанк», Минэкономики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32. Проведение Недели женского предпринимательства под эгидой ОАО «Белинвестбанк»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«Белинвестбанк»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33. Реализация проекта по поддержке женщин-предпринимателей – акселератор для бизнеса «Я расту»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«Белагропромбанк», Минэкономики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34. Реализация профориентационных программ в целях вовлечения молодежи в предпринимательство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35. Организация ежегодного проведения конкурсов стартапов и социальных проектов с возможностью дальнейшей поддержки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ГКНТ</w:t>
            </w:r>
            <w:r>
              <w:rPr>
                <w:color w:val="000000"/>
              </w:rPr>
              <w:t>, ОАО «Белагропромбанк»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36. Создание тематических акселерационных программ для креативных индустрий, стартапов и импакт-проектов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«Белагропромбанк»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37. Внедрение системы персонального коучинга и </w:t>
            </w:r>
            <w:r>
              <w:rPr>
                <w:color w:val="000000"/>
              </w:rPr>
              <w:t>сопровождения субъектов малого предпринимательства, начинающих предпринимательскую деятельность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38. Проведение конкурсов, направленных на стимулирование, популяризацию и развитие предпринимательской деятельности, повышение предпринимательско</w:t>
            </w:r>
            <w:r>
              <w:rPr>
                <w:color w:val="000000"/>
              </w:rPr>
              <w:t>й инициативы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БФФПП, Минэкономики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собственные средства БФФПП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39. Организация и проведение бизнес-форумов, круглых столов, заседаний советов по развитию предпринимательства, семинаров по правовым финансовым основам предпринимательской деятельности</w:t>
            </w:r>
            <w:r>
              <w:rPr>
                <w:color w:val="000000"/>
              </w:rPr>
              <w:t>, мероприятий «открытая приемная для бизнеса» и иных мероприятий (обучающих, ознакомительных, профориентационных), направленных на популяризацию предпринимательской деятельности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облисполком, Минский горисполком, ОАО «Белагропромбанк»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местные бюджеты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40. Подготовка и распространение методических пособий, каталогов, справочных изданий, иной полиграфической (электронной) продукции, видеоматериалов по организации и осуществлению предпринимательской деятельности, изготовление мобильных бан</w:t>
            </w:r>
            <w:r>
              <w:rPr>
                <w:color w:val="000000"/>
              </w:rPr>
              <w:t xml:space="preserve">нерных (выставочных) стендов, рекламных конструкций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облисполком, Минский горисполком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41. Проведение конкурса научных работ по теории предпринимательства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Академия управления при Президенте Республики Беларусь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Задача. Создание комфортного бизнес-климата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Совершенствование условий осуществления предпринимательской деятельности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42. Внесение в Совет Министров Республики Беларусь предложений о внедрении института «платформенной занятости»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МНС, Минфин, Ми</w:t>
            </w:r>
            <w:r>
              <w:rPr>
                <w:color w:val="000000"/>
              </w:rPr>
              <w:t xml:space="preserve">нэкономики 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43. Внесение в Совет Министров Республики Беларусь предложений о введении механизма уплаты плательщиками налогов единым налоговым платежом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МНС, Минфин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44. Перевод в цифровой формат наиболее востребованных деловых ситуаций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Минсвязи (РУП «Центр цифрового развития»), Минэкономики, республиканские органы государственного управления, иные организации, облисполкомы, Минский горисполком 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45. Расширение практики применения правовых экспериментов («регуляторных песочниц») для ре</w:t>
            </w:r>
            <w:r>
              <w:rPr>
                <w:color w:val="000000"/>
              </w:rPr>
              <w:t>шения задач технологического развития и создания (апробирования) новых механизмов правового регулирования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ГКНТ, республиканские органы государственного управления, иные организации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46. Оптимизация государственного контроля (надзора) (за исключ</w:t>
            </w:r>
            <w:r>
              <w:rPr>
                <w:color w:val="000000"/>
              </w:rPr>
              <w:t>ением сфер бюджетного и налогового законодательства) в отношении субъектов МСП путем:</w:t>
            </w:r>
          </w:p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планирования контрольных мероприятий в отношении субъектов МСП по принципу минимизации вмешательства в деятельность таких субъектов;</w:t>
            </w:r>
          </w:p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приоритетного применения мер профилак</w:t>
            </w:r>
            <w:r>
              <w:rPr>
                <w:color w:val="000000"/>
              </w:rPr>
              <w:t>тического и предупредительного характера над иными формами государственного контроля (надзора)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контролирующие (надзорные) органы, подчиненные Правительству, облисполкомы, Минский горисполком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Развитие института прогнозирования последствий норма</w:t>
            </w:r>
            <w:r>
              <w:rPr>
                <w:color w:val="000000"/>
              </w:rPr>
              <w:t>тивных правовых актов в процессе принятия управленческих решений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47. Определение в государственных органах, иных организациях, являющихся субъектами нормотворческой инициативы, специалистов, ответственных за проведение ОРВ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республиканские органы государственного управления, иные организации, облисполкомы, Минский горисполком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48. Проведение мероприятий по разъяснению методологии ОРВ для представителей государственных органов и организаций (круглые столы, семинары, мастер-к</w:t>
            </w:r>
            <w:r>
              <w:rPr>
                <w:color w:val="000000"/>
              </w:rPr>
              <w:t xml:space="preserve">лассы)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2026–2030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49. Разработка практико-ориентированного пособия по проведению ОРВ для представителей государственных органов и бизнес-сообщества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ПРООН*, Минобразование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50. Включение в программы повышения квалификац</w:t>
            </w:r>
            <w:r>
              <w:rPr>
                <w:color w:val="000000"/>
              </w:rPr>
              <w:t>ии для руководителей и специалистов государственных органов, иных организаций, являющихся субъектами нормотворческой инициативы, вопросов проведения ОРВ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Академия управления при Президенте Республики Беларусь, Минэкономики, Минобразование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04E21">
      <w:pPr>
        <w:pStyle w:val="snoski"/>
        <w:rPr>
          <w:color w:val="000000"/>
        </w:rPr>
      </w:pPr>
      <w:bookmarkStart w:id="14" w:name="a7"/>
      <w:bookmarkEnd w:id="14"/>
      <w:r>
        <w:rPr>
          <w:color w:val="000000"/>
        </w:rPr>
        <w:t>* С их согласия.</w:t>
      </w:r>
    </w:p>
    <w:p w:rsidR="00000000" w:rsidRDefault="00E04E21">
      <w:pPr>
        <w:pStyle w:val="snoski"/>
        <w:rPr>
          <w:color w:val="000000"/>
        </w:rPr>
      </w:pPr>
      <w:bookmarkStart w:id="15" w:name="a8"/>
      <w:bookmarkEnd w:id="15"/>
      <w:r>
        <w:rPr>
          <w:color w:val="000000"/>
        </w:rPr>
        <w:t>** Реализация собственных программ финансовой поддержки МСП осуществляется через банки и лизинговые организации, а также путем предоставления кредитов субъектам МСП, реализующим инвестиционные проекты и прет</w:t>
      </w:r>
      <w:r>
        <w:rPr>
          <w:color w:val="000000"/>
        </w:rPr>
        <w:t>ендующим на оказание финансовой поддержки в соответствии с актами законодательства.</w:t>
      </w:r>
    </w:p>
    <w:p w:rsidR="00000000" w:rsidRDefault="00E04E21">
      <w:pPr>
        <w:pStyle w:val="snoski"/>
        <w:spacing w:after="240"/>
        <w:rPr>
          <w:color w:val="000000"/>
        </w:rPr>
      </w:pPr>
      <w:bookmarkStart w:id="16" w:name="a9"/>
      <w:bookmarkEnd w:id="16"/>
      <w:r>
        <w:rPr>
          <w:color w:val="000000"/>
        </w:rPr>
        <w:t>*** Ответственные за реализацию соответствующего мероприятия не являются заказчиками Государственной программы.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6"/>
        <w:gridCol w:w="405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append1"/>
              <w:rPr>
                <w:color w:val="000000"/>
              </w:rPr>
            </w:pPr>
            <w:bookmarkStart w:id="17" w:name="a6"/>
            <w:bookmarkEnd w:id="17"/>
            <w:r>
              <w:rPr>
                <w:color w:val="000000"/>
              </w:rPr>
              <w:t>Приложение 4</w:t>
            </w:r>
          </w:p>
          <w:p w:rsidR="00000000" w:rsidRDefault="00E04E2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Государственной программе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«Устойчивое предпринимательство»</w:t>
            </w:r>
            <w:r>
              <w:rPr>
                <w:color w:val="000000"/>
              </w:rPr>
              <w:br/>
              <w:t xml:space="preserve">на 2026–2030 годы </w:t>
            </w:r>
          </w:p>
        </w:tc>
      </w:tr>
    </w:tbl>
    <w:p w:rsidR="00000000" w:rsidRDefault="00E04E21">
      <w:pPr>
        <w:pStyle w:val="titlep"/>
        <w:jc w:val="left"/>
        <w:rPr>
          <w:color w:val="000000"/>
        </w:rPr>
      </w:pPr>
      <w:r>
        <w:rPr>
          <w:color w:val="000000"/>
        </w:rPr>
        <w:t>ОБЪЕМЫ И ИСТОЧНИКИ ФИНАНСИРОВАНИЯ МЕРОПРИЯТИЙ</w:t>
      </w:r>
      <w:r>
        <w:rPr>
          <w:color w:val="000000"/>
        </w:rPr>
        <w:br/>
        <w:t>по задаче «Стимулирование развития субъектов МСП»</w:t>
      </w:r>
    </w:p>
    <w:p w:rsidR="00000000" w:rsidRDefault="00E04E21">
      <w:pPr>
        <w:pStyle w:val="edizmeren"/>
        <w:rPr>
          <w:color w:val="000000"/>
        </w:rPr>
      </w:pPr>
      <w:r>
        <w:rPr>
          <w:color w:val="000000"/>
        </w:rPr>
        <w:t>(белорусских рублей)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8148"/>
        <w:gridCol w:w="1568"/>
        <w:gridCol w:w="1568"/>
        <w:gridCol w:w="1568"/>
        <w:gridCol w:w="1620"/>
      </w:tblGrid>
      <w:tr w:rsidR="00000000">
        <w:trPr>
          <w:trHeight w:val="240"/>
        </w:trPr>
        <w:tc>
          <w:tcPr>
            <w:tcW w:w="13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Заказчики и (или) ответственные за реализацию мероприятий</w:t>
            </w:r>
          </w:p>
        </w:tc>
        <w:tc>
          <w:tcPr>
            <w:tcW w:w="29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rPr>
                <w:color w:val="000000"/>
              </w:rPr>
              <w:t>емы финансирования (в текущих ценах)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24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по годам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04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2026 год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2027 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2028 год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2029 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04E2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2030 год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Всего по Государственной программе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64 191 624 884,0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11 199 188 109,0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12 105 055 955,0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13 016 859 859,0 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13 428 730 074,0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14 </w:t>
            </w:r>
            <w:r>
              <w:rPr>
                <w:color w:val="000000"/>
              </w:rPr>
              <w:t xml:space="preserve">441 790 887,0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всего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70 258 623,0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12 616 627,0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13 373 625,0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14 042 306,0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14 744 422,0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15 481 643,0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средства, выделяемые Минэкономики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957 969,0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172 026,0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182 348,0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191 465,0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201 039,0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211 091,0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средства, выделяемые БФФПП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БФФПП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69 300 654,0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12 444 601,0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13 191 277,0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13 850 841,0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14 543 383,0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15 270 552,0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местные бюджеты, всего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91 682 128,0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16 671 482,0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17 570 825,0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18 373 195,0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19 123 139,0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19 943 487,0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Брестская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23 193 765,0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4 164 971,0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4 414 757,0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4 635 787,0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4 867 351,0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5 110 899,0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Витебская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12 095 058,0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2 158 902,0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2 369 888,0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2 440 174,0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2 509 958,0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2 </w:t>
            </w:r>
            <w:r>
              <w:rPr>
                <w:color w:val="000000"/>
              </w:rPr>
              <w:t xml:space="preserve">616 136,0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Гомельская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7 462 400,0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1 166 000,0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1 349 460,0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1 499 370,0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1 648 830,0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1 798 740,0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Гродненская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8 610 996,0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1 722 168,0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1 722 056,0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1 722 342,0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1 722 126,0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1 722 304,0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Минская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8 000 197,0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1 500 041,0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1 549 888,0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1 600 174,0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1 649 958,0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1 700 136,0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Могилевская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25 419 556,0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4 759 400,0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4 869 888,0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5 060 174,0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5 259 958,0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5 470 136,0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г. Минск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Минский </w:t>
            </w:r>
            <w:r>
              <w:rPr>
                <w:color w:val="000000"/>
              </w:rPr>
              <w:t>горисполком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6 900 156,0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1 200 000,0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1 294 888,0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1 415 174,0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1 464 958,0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1 525 136,0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 xml:space="preserve">собственные средства, всего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64 029 684 133,0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11 169 900 000,0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12 074 111 505,0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12 984 444 358,0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13 394 862 513,0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14 406 365 757,0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собственные средства БФФПП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БФФПП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47 644 133,0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6 860 000,0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8 111 505,0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9 444 358,0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10 862 513,0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12 365 757,0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средства ОАО «Банк развития Республики Беларусь» (в том числе привлеченные)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«Банк развития Республики Беларусь»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1 882 040 000,0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363 </w:t>
            </w:r>
            <w:r>
              <w:rPr>
                <w:color w:val="000000"/>
              </w:rPr>
              <w:t xml:space="preserve">040 000,0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366 000 000,0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375 000 000,0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384 000 000,0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394 000 000,0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средства ОАО «АСБ Беларусбанк», в том числе за счет привлеченных средств (за исключением средств ОАО «Банк развития Республики Беларусь»)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«АСБ Беларусбанк»*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20 600 000 000,0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3 300</w:t>
            </w:r>
            <w:r>
              <w:rPr>
                <w:color w:val="000000"/>
              </w:rPr>
              <w:t xml:space="preserve"> 000 000,0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3 700 000 000,0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4 100 000 000,0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4 500 000 000,0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5 000 000 000,0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средства ОАО «Белагропромбанк», в том числе за счет привлеченных средств (за исключением средств ОАО «Банк развития Республики Беларусь»)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«Белагропромбанк»*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16 500 000 </w:t>
            </w:r>
            <w:r>
              <w:rPr>
                <w:color w:val="000000"/>
              </w:rPr>
              <w:t xml:space="preserve">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2 500 000 000,0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3 000 000 000,0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3 500 000 000,0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3 500 000 000,0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4 000 000 000,0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средства ОАО «Белинвестбанк», в том числе за счет привлеченных средств (за исключением средств ОАО «Банк развития Республики Беларусь»)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«Белинвестбанк»*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  <w:r>
              <w:rPr>
                <w:color w:val="000000"/>
              </w:rPr>
              <w:t xml:space="preserve"> 000 000,0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5 000 000 000,0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5 000 000 000,0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5 000 000 000,0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5 000 000 000,0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5 000 000 000,0 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1. Оказание государственной финансовой поддержки субъектам инфраструктуры поддержки МСП в соответствии 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постановлением Совета Министров Республик</w:t>
            </w:r>
            <w:r>
              <w:rPr>
                <w:color w:val="000000"/>
              </w:rPr>
              <w:t>и Беларусь от 28 июня 2024 г. № 459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Всего по мероприятию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7 235 843,0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1 318 493,0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1 461 100,0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1 477 400,0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1 483 750,0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1 495 100,0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местные бюджеты, всего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7 235 843,0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1 318 493,0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1 461 100,0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1 477 400,0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1 483 </w:t>
            </w:r>
            <w:r>
              <w:rPr>
                <w:color w:val="000000"/>
              </w:rPr>
              <w:t xml:space="preserve">750,0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1 495 100,0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Брестская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Витебская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6 358 652,0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1 158 652,0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1 300 000,0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1 300 000,0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1 300 000,0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 300 000,0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Гомельская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55 000,0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70 000,0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Минская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358 041,0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69 841,0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70 700,0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71 600,0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72 500,0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73 400,0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Могилевская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54 150,0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10 400,0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10 800,0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11 250,0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11 700,0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г. Минск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115 000,0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6. Создание (разработка) информационной системы «Цифровая платформа для субъектов малого и среднего предпринимательства» 2-й очереди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Всего по мероприятию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6 040 000,0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6 040 000,0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 xml:space="preserve">из них собственные средства, всего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6 040 </w:t>
            </w:r>
            <w:r>
              <w:rPr>
                <w:color w:val="000000"/>
              </w:rPr>
              <w:t xml:space="preserve">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6 040 000,0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 средства ОАО «Банк развития Республики Беларусь» (в том числе привлеченные)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«Банк развития Республики Беларусь», БФФПП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6 040 000,0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6 040 000,0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9. Оказание государственной финансовой поддер</w:t>
            </w:r>
            <w:r>
              <w:rPr>
                <w:color w:val="000000"/>
              </w:rPr>
              <w:t>жки субъектам МСП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постановлением Совета Министров Республики Беларусь от 28 июня 2024 г. № 459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Всего по мероприятию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198 371 972,0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34 072 090,0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36 825 457,0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39 584 494,0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42 432 485,0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45 457 446,0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всего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69 300 654,0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12 444 601,0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13 191 277,0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13 850 841,0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14 543 383,0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15 270 552,0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 средства, выделяемые БФФПП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БФФПП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69 300 654,0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12 444 601,0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13 191 277,0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13 850 841,0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14 543 383,0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15 270 552,0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местные бюджеты, всего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83 227 185,0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15 127 489,0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15 882 675,0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16 649 295,0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17 386 589,0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18 181 137,0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Брестская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23 031 715,0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4 134 721,0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4 383 607,0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4 603 287,0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4 833 951,0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5 076 149,0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Витебская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5 624 356,0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980 000,0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1 048 738,0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1 117 674,0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1 186 558,0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1 291 386,0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Гомельская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7 050 350,0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1 095 750,0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1 273 310,0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1 416 870,0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1 560 430,0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1 703 990,0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Гродненская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8 378 946,0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1 677 918,0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1 676 906,0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1 675 842,0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1 674 726,0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1 673 554,0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Минская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7 530 106,0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1 409 950,0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1 458 038,0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1 506 074,0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1 554 058,0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1 601 986,0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Могилевская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25 253 356,0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4 729 150,0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4 838 338,0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5 026 874,0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5 225 308,0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5 433 686,0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г. Минск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6 358 356,0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1 100 000,0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1 203 738,0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1 302 674,0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1 351 558,0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1 400 386,0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собственные средства, всего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45 844 133,0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6 500 000,0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7 751 505,0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9 084 358,0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10 502 513,0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12 005 757,0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 собственные средства БФФПП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БФФПП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45 844 133,0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6 500 000,0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7 751 505,0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9 084 358,0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10 502 513,0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12 005 757,0 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14. Р</w:t>
            </w:r>
            <w:r>
              <w:rPr>
                <w:color w:val="000000"/>
              </w:rPr>
              <w:t>еализация собственных программ финансовой поддержки МСП (в том числе за счет привлеченных денежных средств международных организаций)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Всего по мероприятию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63 976 000 000,0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11 157 000 000,0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12 066 000 000,0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12 975 000 000,0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13 384 000 000,0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14 394 000 000,0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 xml:space="preserve">собственные средства, всего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63 976 000 000,0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11 157 000 000,0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12 066 000 000,0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12 975 000 000,0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13 384 000 000,0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14 394 000 000,0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средства ОАО </w:t>
            </w:r>
            <w:r>
              <w:rPr>
                <w:color w:val="000000"/>
              </w:rPr>
              <w:t>«Банк развития Республики Беларусь» (в том числе привлеченные)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«Банк развития Республики Беларусь»**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1 876 000 000,0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357 000 000,0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366 000 000,0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375 000 000,0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384 000 000,0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394 000 000,0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средства ОАО «АСБ Беларусбанк», в том числе за </w:t>
            </w:r>
            <w:r>
              <w:rPr>
                <w:color w:val="000000"/>
              </w:rPr>
              <w:t>счет привлеченных средств (за исключением средств ОАО «Банк развития Республики Беларусь»)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«АСБ Беларусбанк»*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20 600 000 000,0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3 300 000 000,0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3 700 000 000,0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4 100 000 000,0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4 500 000 000,0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5 000 000 000,0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 xml:space="preserve">средства ОАО «Белагропромбанк», в том </w:t>
            </w:r>
            <w:r>
              <w:rPr>
                <w:color w:val="000000"/>
              </w:rPr>
              <w:t>числе за счет привлеченных средств (за исключением средств ОАО «Банк развития Республики Беларусь»)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«Белагропромбанк»*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16 500 000 000,0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2 500 000 000,0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3 000 000 000,0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3 500 000 000,0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3 500 000 000,0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4 000 000 000,0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средства ОАО </w:t>
            </w:r>
            <w:r>
              <w:rPr>
                <w:color w:val="000000"/>
              </w:rPr>
              <w:t>«Белинвестбанк», в том числе за счет привлеченных средств (за исключением средств ОАО «Банк развития Республики Беларусь»)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ОАО «Белинвестбанк»*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25 000 000 000,0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5 000 000 000,0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5 000 000 000,0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5 000 000 000,0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5 000 000 000,0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5 000 000 000,0 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</w:t>
            </w:r>
            <w:r>
              <w:rPr>
                <w:color w:val="000000"/>
              </w:rPr>
              <w:t>тие 17. Проведение бирж субконтрактов в промышленности и иных мероприятий по вовлечению субъектов МСП в кооперационные цепочки крупных промышленных предприятий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Всего по мероприятию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164 400,0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32 300,0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33 300,0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34 000,0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34 800,0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всего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14 400,0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2 300,0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3 300,0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4 800,0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 средства, выделяемые Минэкономики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14 400,0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2 300,0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3 300,0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4 800,0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 xml:space="preserve">собственные средства, всего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 собственные средства БФФПП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БФФПП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19. Организационно-информационная поддержка стартап-движения, в </w:t>
            </w:r>
            <w:r>
              <w:rPr>
                <w:color w:val="000000"/>
              </w:rPr>
              <w:t>том числе проведение стартап-мероприятий, бизнес-викторин, конкурсов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Всего по мероприятию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местные бюджеты, всего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155 000,0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35 </w:t>
            </w:r>
            <w:r>
              <w:rPr>
                <w:color w:val="000000"/>
              </w:rPr>
              <w:t xml:space="preserve">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Гродненская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г. Минск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105 000,0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25 000,0 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27. Организация и проведение мероприятий Белорусской недели предпринимательства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Всего по мероприятию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 xml:space="preserve">собственные средства, всего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30 </w:t>
            </w:r>
            <w:r>
              <w:rPr>
                <w:color w:val="000000"/>
              </w:rPr>
              <w:t xml:space="preserve">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 собственные средства БФФПП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Минэкономики, БФФПП, облисполкомы, Минский горисполком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30 000,0 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28. Организация и проведение национально</w:t>
            </w:r>
            <w:r>
              <w:rPr>
                <w:color w:val="000000"/>
              </w:rPr>
              <w:t>го конкурса «Предприниматель года»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Всего по мероприятию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1 727 919,0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313 776,0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328 098,0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345 665,0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360 839,0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379 541,0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республиканский бюджет, всего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943 569,0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172 026,0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180 048,0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188 165,0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197 039,0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206 291,0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 средства, выделяемые Минэкономики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Минэкономики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943 569,0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172 026,0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180 048,0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188 165,0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197 039,0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206 291,0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местные бюджеты, всего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784 350,0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141 750,0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148 050,0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157 500,0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163 800,0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173 250,0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Брестская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Брестский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112 050,0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20 250,0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21 150,0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22 500,0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23 400,0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24 750,0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Витебская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Витебский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112 050,0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20 250,0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21 150,0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22 500,0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23 400,0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24 750,0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Гомельская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Гомельский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112 050,0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20 250,0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21 150,0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22 500,0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23 400,0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24 750,0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Гродненская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112 050,0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20 250,0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21 150,0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22 500,0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23 400,0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24 750,0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Минская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112 050,0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20 250,0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21 150,0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22 500,0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23 400,0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24 750,0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Могилевская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Могилевский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112 050,0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20 250,0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21 150,0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22 500,0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23 400,0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24 750,0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г. Минск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112 050,0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20 250,0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21 150,0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22 500,0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23 400,0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24 750,0 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38. Проведение конкурсов, направленных на </w:t>
            </w:r>
            <w:r>
              <w:rPr>
                <w:color w:val="000000"/>
              </w:rPr>
              <w:t>стимулирование, популяризацию и развитие предпринимательской деятельности, повышение предпринимательской инициативы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Всего по мероприятию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1 500 000,0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 xml:space="preserve">собственные средства, всего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1 500 000,0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 собственные средства БФФПП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БФФПП, Минэкономики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1 500 000,0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300 000,0 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39. Организация и проведение бизнес-форумов, круглых столов, заседаний советов по развитию предпринимательства, семинаров по правовым финансовым основам предпринимательской деятельности, мероприятий «открытая приемная для бизнеса» и иных меропр</w:t>
            </w:r>
            <w:r>
              <w:rPr>
                <w:color w:val="000000"/>
              </w:rPr>
              <w:t>иятий (обучающих, ознакомительных, профориентационных), направленных на популяризацию предпринимательской деятельности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Всего по мероприятию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239 750,0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50 750,0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51 000,0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местные бюджеты, всего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239 750,0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50 750,0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51 000,0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Гродненская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55 000,0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г. Минск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184 </w:t>
            </w:r>
            <w:r>
              <w:rPr>
                <w:color w:val="000000"/>
              </w:rPr>
              <w:t xml:space="preserve">750,0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39 750,0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40 000,0 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40. Подготовка и распространение методических пособий, каталогов, справочных изданий, иной полиграфической (электронной) продукции, видеоматериалов по организации и </w:t>
            </w:r>
            <w:r>
              <w:rPr>
                <w:color w:val="000000"/>
              </w:rPr>
              <w:t>осуществлению предпринимательской деятельности, изготовление мобильных баннерных (выставочных) стендов, рекламных конструкций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Всего по мероприятию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местные бюджеты, всего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Гродненская область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Гродненский облисполком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3 000,0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3 000,0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3 000,0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3 000,0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3 000,0 </w:t>
            </w:r>
          </w:p>
        </w:tc>
      </w:tr>
      <w:tr w:rsidR="00000000">
        <w:trPr>
          <w:trHeight w:val="240"/>
        </w:trPr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ind w:left="567"/>
              <w:rPr>
                <w:color w:val="000000"/>
              </w:rPr>
            </w:pPr>
            <w:r>
              <w:rPr>
                <w:color w:val="000000"/>
              </w:rPr>
              <w:t>г. Минск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Минский горисполком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25 000,0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5 000,0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5 000,0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5 000,0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5 000,0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04E21">
            <w:pPr>
              <w:pStyle w:val="table10"/>
              <w:spacing w:before="12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5 000,0 </w:t>
            </w:r>
          </w:p>
        </w:tc>
      </w:tr>
    </w:tbl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04E2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04E21">
      <w:pPr>
        <w:pStyle w:val="snoski"/>
        <w:rPr>
          <w:color w:val="000000"/>
        </w:rPr>
      </w:pPr>
      <w:bookmarkStart w:id="18" w:name="a10"/>
      <w:bookmarkEnd w:id="18"/>
      <w:r>
        <w:rPr>
          <w:color w:val="000000"/>
        </w:rPr>
        <w:t>* Ответственные за реализацию соответствующего мероприятия не являются заказчиками Государственной программы.</w:t>
      </w:r>
    </w:p>
    <w:p w:rsidR="00000000" w:rsidRDefault="00E04E21">
      <w:pPr>
        <w:pStyle w:val="snoski"/>
        <w:spacing w:after="240"/>
        <w:rPr>
          <w:color w:val="000000"/>
        </w:rPr>
      </w:pPr>
      <w:bookmarkStart w:id="19" w:name="a11"/>
      <w:bookmarkEnd w:id="19"/>
      <w:r>
        <w:rPr>
          <w:color w:val="000000"/>
        </w:rPr>
        <w:t>** </w:t>
      </w:r>
      <w:r>
        <w:rPr>
          <w:color w:val="000000"/>
        </w:rPr>
        <w:t>Реализация собственных программ финансовой поддержки МСП осуществляется через банки и лизинговые организации, а также путем предоставления кредитов субъектам МСП, реализующим инвестиционные проекты и претендующим на оказание финансовой поддержки в соответс</w:t>
      </w:r>
      <w:r>
        <w:rPr>
          <w:color w:val="000000"/>
        </w:rPr>
        <w:t>твии с актами законодательства.</w:t>
      </w:r>
    </w:p>
    <w:p w:rsidR="00000000" w:rsidRDefault="00E04E21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7A"/>
    <w:rsid w:val="0014727A"/>
    <w:rsid w:val="00E0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45717-79BE-4501-B121-8864E582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10422</Words>
  <Characters>59407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User</cp:lastModifiedBy>
  <cp:revision>2</cp:revision>
  <dcterms:created xsi:type="dcterms:W3CDTF">2026-03-30T13:15:00Z</dcterms:created>
  <dcterms:modified xsi:type="dcterms:W3CDTF">2026-03-30T13:15:00Z</dcterms:modified>
</cp:coreProperties>
</file>