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5E" w:rsidRDefault="0008355E" w:rsidP="00083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3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Главой государства 22 апреля 2024 г. подписан Закон Республики Беларусь № 365-З «</w:t>
      </w:r>
      <w:hyperlink r:id="rId5" w:tgtFrame="_blank" w:history="1">
        <w:r w:rsidRPr="0008355E">
          <w:rPr>
            <w:rFonts w:ascii="Times New Roman" w:eastAsia="Times New Roman" w:hAnsi="Times New Roman" w:cs="Times New Roman"/>
            <w:b/>
            <w:bCs/>
            <w:color w:val="003366"/>
            <w:sz w:val="28"/>
            <w:szCs w:val="28"/>
            <w:u w:val="single"/>
            <w:lang w:eastAsia="ru-RU"/>
          </w:rPr>
          <w:t>Об изменении законов по вопросам предпринимательской деятельности</w:t>
        </w:r>
      </w:hyperlink>
      <w:r w:rsidRPr="00083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». </w:t>
      </w:r>
    </w:p>
    <w:p w:rsidR="0008355E" w:rsidRPr="0008355E" w:rsidRDefault="0008355E" w:rsidP="000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55E" w:rsidRPr="0008355E" w:rsidRDefault="0008355E" w:rsidP="000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акт направлен на установление простых, понятных условий и стимулов для организации и масштабирования «своего дела», создания конкурентной среды между различными организационно-правовыми формами малого бизнеса.</w:t>
      </w:r>
    </w:p>
    <w:p w:rsidR="0008355E" w:rsidRPr="0008355E" w:rsidRDefault="0008355E" w:rsidP="000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следующие основные новации документа.</w:t>
      </w:r>
    </w:p>
    <w:p w:rsidR="0008355E" w:rsidRPr="0008355E" w:rsidRDefault="0008355E" w:rsidP="000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Закрепляется новая структура бизнеса, состоящая из двух категорий:</w:t>
      </w:r>
    </w:p>
    <w:p w:rsidR="0008355E" w:rsidRPr="0008355E" w:rsidRDefault="0008355E" w:rsidP="0008355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лица, в структуре которых выделяются малые </w:t>
      </w:r>
      <w:r w:rsidRPr="000835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численностью до 100 человек)</w:t>
      </w: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средние </w:t>
      </w:r>
      <w:r w:rsidRPr="000835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численностью до 250 человек)</w:t>
      </w: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коммерческие организации;</w:t>
      </w:r>
    </w:p>
    <w:p w:rsidR="0008355E" w:rsidRPr="0008355E" w:rsidRDefault="0008355E" w:rsidP="0008355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лица, которые вправе осуществлять предпринимательскую деятельность в качестве:</w:t>
      </w:r>
    </w:p>
    <w:p w:rsidR="0008355E" w:rsidRPr="0008355E" w:rsidRDefault="0008355E" w:rsidP="0008355E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предпринимателя </w:t>
      </w:r>
      <w:r w:rsidRPr="000835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определенному Правительством перечню видов деятельности, может привлекать не более трех наемных лиц);</w:t>
      </w:r>
    </w:p>
    <w:p w:rsidR="0008355E" w:rsidRPr="0008355E" w:rsidRDefault="0008355E" w:rsidP="0008355E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ремесленника </w:t>
      </w:r>
      <w:r w:rsidRPr="000835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определенному Правительством перечню видов деятельности, может иметь двух учеников)</w:t>
      </w: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355E" w:rsidRPr="0008355E" w:rsidRDefault="0008355E" w:rsidP="0008355E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владельца </w:t>
      </w:r>
      <w:proofErr w:type="spellStart"/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агроэкоусадьбы</w:t>
      </w:r>
      <w:proofErr w:type="spellEnd"/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835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порядок и условия определяются актом Главы государства)</w:t>
      </w: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355E" w:rsidRPr="0008355E" w:rsidRDefault="0008355E" w:rsidP="0008355E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вести профессиональную деятельность </w:t>
      </w:r>
      <w:r w:rsidRPr="000835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определенному Правительством перечню видов деятельности, не может привлекать наемных лиц и иметь нанимателя)</w:t>
      </w: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355E" w:rsidRPr="0008355E" w:rsidRDefault="0008355E" w:rsidP="000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Формируется система стимулов для управляемого «</w:t>
      </w:r>
      <w:proofErr w:type="spellStart"/>
      <w:r w:rsidRPr="00083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перетока</w:t>
      </w:r>
      <w:proofErr w:type="spellEnd"/>
      <w:r w:rsidRPr="00083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граждан в формат юридического лица и укрупнения бизнеса.</w:t>
      </w:r>
    </w:p>
    <w:p w:rsidR="0008355E" w:rsidRPr="0008355E" w:rsidRDefault="0008355E" w:rsidP="000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Вводится особый – «день в день» – </w:t>
      </w:r>
      <w:r w:rsidRPr="00083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для перехода ИП в коммерческую организацию с преемственностью</w:t>
      </w: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всем правам и обязательствам перед бюджетом и контрагентами.</w:t>
      </w:r>
    </w:p>
    <w:p w:rsidR="0008355E" w:rsidRPr="0008355E" w:rsidRDefault="0008355E" w:rsidP="000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регистрирующий орган подается заявление с указанием сведений о том, что ИП обращается за государственной регистрацией коммерческой организации в соответствии с Законом, а также о переходе прав и обязанностей ИП к создаваемой коммерческой организации.</w:t>
      </w:r>
    </w:p>
    <w:p w:rsidR="0008355E" w:rsidRPr="0008355E" w:rsidRDefault="0008355E" w:rsidP="000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обращения в регистрирующий орган ИП обязан письменно уведомить кредиторов о своем решении создать коммерческую организацию и о переходе прав и обязанностей к создаваемой коммерческой организации.</w:t>
      </w:r>
    </w:p>
    <w:p w:rsidR="0008355E" w:rsidRPr="0008355E" w:rsidRDefault="0008355E" w:rsidP="000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государственная регистрация коммерческой организации, создаваемой физическим лицом, зарегистрированным в качестве ИП, в случае включения этого лица в перечни организаций, формирований, индивидуальных предпринимателей и граждан, причастных к экстремистской деятельности, перечень организаций и физических лиц, в том числе ИП, причастных к террористической деятельности.</w:t>
      </w:r>
    </w:p>
    <w:p w:rsidR="0008355E" w:rsidRPr="0008355E" w:rsidRDefault="0008355E" w:rsidP="000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Местонахождением коммерческой организации может являться жилое помещение (квартира, жилой дом) создавшего ее ИП. При этом взимаются плата за коммунальные услуги и иные платежи исходя из предельно допустимых тарифов (цен) на жилищно-коммунальные услуги в жилых домах.</w:t>
      </w:r>
    </w:p>
    <w:p w:rsidR="0008355E" w:rsidRPr="0008355E" w:rsidRDefault="0008355E" w:rsidP="000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Регистрация коммерческой организации осуществляется в день обращения. Запись об исключении ИП из ЕГР будет вноситься датой государственной </w:t>
      </w: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регистрации созданной им коммерческой организации. Процедура прекращения деятельности ИП проводиться не будет.</w:t>
      </w:r>
    </w:p>
    <w:p w:rsidR="0008355E" w:rsidRPr="0008355E" w:rsidRDefault="0008355E" w:rsidP="000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ИП, в том числе предоставленные на основании решений государственных органов в рамках осуществления административных процедур, а также возникшие из гражданско-правовых договоров, переходят к коммерческой организации с даты ее государственной регистрации, и действуют на тех же условиях и на оставшийся срок их действия.</w:t>
      </w:r>
    </w:p>
    <w:p w:rsidR="0008355E" w:rsidRPr="0008355E" w:rsidRDefault="0008355E" w:rsidP="000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административные решения, реестры, регистры, свидетельства, сертификаты и иные правоустанавливающие документы, выдача (оформление) документов, удостоверяющих соответствующее право, а также совершение иных обязательных в соответствии с законодательством действий, связанных с переходом прав и обязанностей осуществляется без взимания государственной пошлины и (или) платы за услуги (работы, материалы).</w:t>
      </w:r>
    </w:p>
    <w:p w:rsidR="0008355E" w:rsidRPr="0008355E" w:rsidRDefault="0008355E" w:rsidP="000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принятия решения о создании коммерческой организации ИП обязан предложить работнику работу в этой организации по квалификации, должности служащего (профессии рабочего), определенным в ранее заключенном между работником и ИП трудовом договоре. При наличии согласия работника такая организация обязана принять на работу работника по той же квалификации, должности служащего (профессии рабочего). При отсутствии согласия работника на такой перевод трудовые отношения с ним прекращаются по причине отказа от продолжения работы в связи с изменением существенных условий труда.</w:t>
      </w:r>
    </w:p>
    <w:p w:rsidR="0008355E" w:rsidRPr="0008355E" w:rsidRDefault="0008355E" w:rsidP="000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создания дополнительных стимулов для перехода ИП на более высокий уровень организации бизнеса предусмотрен </w:t>
      </w:r>
      <w:r w:rsidRPr="00083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преференциальный режим функционирования для коммерческих организаций с численностью работников до 50 человек включительно</w:t>
      </w: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– организации «50 минус»):</w:t>
      </w:r>
    </w:p>
    <w:p w:rsidR="0008355E" w:rsidRPr="0008355E" w:rsidRDefault="0008355E" w:rsidP="0008355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штрафа, налагаемого на организацию «50 минус», определяется в соответствии с санкцией, предусмотренной для ИП, а в случае, если ИП не указан в санкции, – в соответствии с санкцией, предусмотренной для юридического лица, уменьшенной в два раза;</w:t>
      </w:r>
    </w:p>
    <w:p w:rsidR="0008355E" w:rsidRPr="0008355E" w:rsidRDefault="0008355E" w:rsidP="0008355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деятельности организаций «50 минус» применяются правила, регулирующие предпринимательскую деятельность и действующие в отношении ИП и (или) </w:t>
      </w:r>
      <w:proofErr w:type="spellStart"/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микроорганизаций</w:t>
      </w:r>
      <w:proofErr w:type="spellEnd"/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(исходя из максимального учета интересов таких коммерческих организаций, за исключением норм и правил, предусмотренных законодательством о государственной статистике, налоговым законодательством, законодательством о государственном социальном страховании, а также при изменении законодательства в целях обеспечения национальной безопасности, экономической стабильности, общественного порядка, защиты жизни и здоровья населения, прав и свобод граждан).</w:t>
      </w:r>
    </w:p>
    <w:p w:rsidR="0008355E" w:rsidRPr="0008355E" w:rsidRDefault="0008355E" w:rsidP="000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целях защиты жизни и здоровья покупателей товаров (работ, услуг) предусмотрена корректировка Закона «</w:t>
      </w:r>
      <w:hyperlink r:id="rId6" w:tgtFrame="_blank" w:history="1">
        <w:r w:rsidRPr="0008355E">
          <w:rPr>
            <w:rFonts w:ascii="Times New Roman" w:eastAsia="Times New Roman" w:hAnsi="Times New Roman" w:cs="Times New Roman"/>
            <w:color w:val="003366"/>
            <w:sz w:val="28"/>
            <w:szCs w:val="28"/>
            <w:u w:val="single"/>
            <w:lang w:eastAsia="ru-RU"/>
          </w:rPr>
          <w:t>О защите прав потребителей</w:t>
        </w:r>
      </w:hyperlink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части </w:t>
      </w:r>
      <w:r w:rsidRPr="00083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наделения физических лиц, осуществляющих самостоятельную профессиональную деятельность, ответственностью за качество и безопасность</w:t>
      </w: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их товаров, работ, услуг.</w:t>
      </w:r>
    </w:p>
    <w:p w:rsidR="0008355E" w:rsidRPr="0008355E" w:rsidRDefault="0008355E" w:rsidP="000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gramStart"/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обеспечения будущих пенсионных прав, а также с учетом обязанности солидарного участия в системе государственного социального </w:t>
      </w: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страхования предусмотрено, что </w:t>
      </w:r>
      <w:r w:rsidRPr="00083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физические лица, осуществляющие индивидуальную предпринимательскую деятельность подлежат обязательному государственному социальному страхованию</w:t>
      </w: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(кроме являющихся получателями пенсий, а также в период применения налогового вычета по налогу на профессиональный доход). Получатели пенсий могут участвовать в правоотношениях по государственному социальному страхованию при осуществлении индивидуальной предпринимательской деятельности.</w:t>
      </w:r>
    </w:p>
    <w:p w:rsidR="0008355E" w:rsidRPr="0008355E" w:rsidRDefault="0008355E" w:rsidP="000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Развивается институт государственной поддержки малого и среднего предпринимательства.</w:t>
      </w:r>
    </w:p>
    <w:p w:rsidR="0008355E" w:rsidRPr="0008355E" w:rsidRDefault="0008355E" w:rsidP="000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083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Распространение инструментов государственной финансовой поддержки </w:t>
      </w:r>
      <w:proofErr w:type="gramStart"/>
      <w:r w:rsidRPr="00083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субъектов</w:t>
      </w:r>
      <w:proofErr w:type="gramEnd"/>
      <w:r w:rsidRPr="00083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среднего предпринимательства</w:t>
      </w: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(сегодня доступно только для малого бизнеса).</w:t>
      </w:r>
    </w:p>
    <w:p w:rsidR="0008355E" w:rsidRPr="0008355E" w:rsidRDefault="0008355E" w:rsidP="000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083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Закрепляется механизм предоставления Белорусским фондом финансовой поддержки предпринимателей</w:t>
      </w: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(БФФПП) </w:t>
      </w:r>
      <w:r w:rsidRPr="00083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поручительств по обязательствам субъектов хозяйствования</w:t>
      </w: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возможность предоставления БФФПП государственной финансовой поддержки субъектам МСП за счет средств местных бюджетов.</w:t>
      </w:r>
    </w:p>
    <w:p w:rsidR="0008355E" w:rsidRPr="0008355E" w:rsidRDefault="0008355E" w:rsidP="000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Вводится </w:t>
      </w:r>
      <w:r w:rsidRPr="00083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возможность выделения субъектам МСП средств из местных бюджетов на безвозвратной безвозмездной основе</w:t>
      </w: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так называемых «грантов».</w:t>
      </w:r>
    </w:p>
    <w:p w:rsidR="0008355E" w:rsidRPr="0008355E" w:rsidRDefault="0008355E" w:rsidP="000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Закрепляется </w:t>
      </w:r>
      <w:r w:rsidRPr="00083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возможность возмещения субъектам МСП за счет средств республиканского бюджета части капитальных затрат</w:t>
      </w: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понесенных при реализации ими инвестиционных проектов с привлечением кредитов Банка развития (предоставление так называемых «инвестиционных трансфертов»).</w:t>
      </w:r>
    </w:p>
    <w:p w:rsidR="0008355E" w:rsidRPr="0008355E" w:rsidRDefault="0008355E" w:rsidP="000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</w:t>
      </w:r>
      <w:r w:rsidRPr="00083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Установление порядка и условий предоставления государственной финансовой поддержки</w:t>
      </w: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предлагается отнести к </w:t>
      </w:r>
      <w:r w:rsidRPr="00083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компетенции Совета Министров</w:t>
      </w: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Право на определение направлений и целей господдержки, оказываемой за счет средств местных бюджетов, делегируется областным и Минскому городскому исполнительным комитетам.</w:t>
      </w:r>
    </w:p>
    <w:p w:rsidR="0008355E" w:rsidRPr="0008355E" w:rsidRDefault="0008355E" w:rsidP="000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Для обеспечения </w:t>
      </w:r>
      <w:r w:rsidRPr="00083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верификации статуса субъекта МСП</w:t>
      </w: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целей получения господдержки либо применения преференциального режима функционирования) предусмотрено </w:t>
      </w:r>
      <w:r w:rsidRPr="00083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Реестра субъектов МСП</w:t>
      </w: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электронной базы данных, формируемой в информационной системе Министерства по налогам и сборам.</w:t>
      </w:r>
    </w:p>
    <w:p w:rsidR="0008355E" w:rsidRPr="0008355E" w:rsidRDefault="0008355E" w:rsidP="000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proofErr w:type="gramStart"/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сближения организационно-правовой формы БФФПП с общепринятой организационно-правовой формой фондов предусмотрено, что </w:t>
      </w:r>
      <w:r w:rsidRPr="00083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законода</w:t>
      </w:r>
      <w:bookmarkStart w:id="0" w:name="_GoBack"/>
      <w:bookmarkEnd w:id="0"/>
      <w:r w:rsidRPr="00083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тельство, регулирующее деятельность фондов, распространяется на БФФПП</w:t>
      </w: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вышестоящий для БФФПП государственный орган (организацию) определяет Правительство.</w:t>
      </w:r>
    </w:p>
    <w:p w:rsidR="000D77BA" w:rsidRDefault="0008355E" w:rsidP="0008355E">
      <w:pPr>
        <w:jc w:val="both"/>
      </w:pPr>
      <w:r w:rsidRPr="0008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35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Источник: </w:t>
      </w:r>
      <w:hyperlink r:id="rId7" w:history="1">
        <w:r w:rsidRPr="0008355E">
          <w:rPr>
            <w:rFonts w:ascii="Times New Roman" w:eastAsia="Times New Roman" w:hAnsi="Times New Roman" w:cs="Times New Roman"/>
            <w:i/>
            <w:iCs/>
            <w:color w:val="003366"/>
            <w:sz w:val="28"/>
            <w:szCs w:val="28"/>
            <w:u w:val="single"/>
            <w:lang w:eastAsia="ru-RU"/>
          </w:rPr>
          <w:t>https://pravo.by/novosti/analitika/2024/april/77529/</w:t>
        </w:r>
      </w:hyperlink>
      <w:r w:rsidRPr="000835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Национальный правовой Интернет-портал Республики Беларусь</w:t>
      </w:r>
    </w:p>
    <w:sectPr w:rsidR="000D77BA" w:rsidSect="00083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42555"/>
    <w:multiLevelType w:val="multilevel"/>
    <w:tmpl w:val="B2E8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71AF8"/>
    <w:multiLevelType w:val="multilevel"/>
    <w:tmpl w:val="8BB4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5E"/>
    <w:rsid w:val="0008355E"/>
    <w:rsid w:val="000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2ABA"/>
  <w15:chartTrackingRefBased/>
  <w15:docId w15:val="{CE4E1309-D543-4D19-8030-8E803EDD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.by/novosti/analitika/2024/april/775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3871&amp;p0=h10200090" TargetMode="External"/><Relationship Id="rId5" Type="http://schemas.openxmlformats.org/officeDocument/2006/relationships/hyperlink" Target="https://pravo.by/document/?guid=12551&amp;p0=H1240036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2024-05-07T10:01:00Z</dcterms:created>
  <dcterms:modified xsi:type="dcterms:W3CDTF">2024-05-07T10:03:00Z</dcterms:modified>
</cp:coreProperties>
</file>