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15D" w:rsidRPr="00FD40C9" w:rsidRDefault="00DA315D" w:rsidP="00FD40C9">
      <w:pPr>
        <w:pStyle w:val="1"/>
        <w:shd w:val="clear" w:color="auto" w:fill="auto"/>
        <w:ind w:firstLine="740"/>
        <w:jc w:val="center"/>
        <w:rPr>
          <w:b/>
          <w:color w:val="000000"/>
          <w:lang w:val="ru-RU" w:eastAsia="ru-RU" w:bidi="ru-RU"/>
        </w:rPr>
      </w:pPr>
      <w:r w:rsidRPr="00FD40C9">
        <w:rPr>
          <w:b/>
          <w:color w:val="000000"/>
          <w:lang w:val="ru-RU" w:eastAsia="ru-RU" w:bidi="ru-RU"/>
        </w:rPr>
        <w:t>Условия и порядок занесения на Республиканскую доску Почета административно-территориальных единиц, организаций и филиалов определены Положением о Республиканской доске Почета, утвержденным Указом Президента Республики Беларусь от 30 сентября 1999 г. № 573 (далее – Указ № 573).</w:t>
      </w:r>
    </w:p>
    <w:p w:rsidR="00FD40C9" w:rsidRPr="00DA315D" w:rsidRDefault="00FD40C9" w:rsidP="008857CC">
      <w:pPr>
        <w:pStyle w:val="1"/>
        <w:shd w:val="clear" w:color="auto" w:fill="auto"/>
        <w:ind w:firstLine="740"/>
        <w:rPr>
          <w:lang w:val="ru-RU"/>
        </w:rPr>
      </w:pPr>
    </w:p>
    <w:p w:rsidR="00DA315D" w:rsidRPr="009543D4" w:rsidRDefault="00DA315D" w:rsidP="008857CC">
      <w:pPr>
        <w:autoSpaceDE w:val="0"/>
        <w:autoSpaceDN w:val="0"/>
        <w:adjustRightInd w:val="0"/>
        <w:spacing w:after="0" w:line="240" w:lineRule="auto"/>
        <w:ind w:firstLine="741"/>
        <w:jc w:val="both"/>
        <w:rPr>
          <w:rFonts w:ascii="Times New Roman" w:eastAsiaTheme="minorHAnsi" w:hAnsi="Times New Roman"/>
          <w:sz w:val="30"/>
          <w:szCs w:val="30"/>
        </w:rPr>
      </w:pPr>
      <w:proofErr w:type="gramStart"/>
      <w:r w:rsidRPr="009543D4">
        <w:rPr>
          <w:rFonts w:ascii="Times New Roman" w:eastAsiaTheme="minorHAnsi" w:hAnsi="Times New Roman"/>
          <w:sz w:val="30"/>
          <w:szCs w:val="30"/>
        </w:rPr>
        <w:t>Финансирование расходов на выплату единовременных премий (денежных вознаграждений) победителям соревнования среди областей и г. Минска, районов, городов, районов в городах, организаций, занесенным на Республиканскую доску Почета по итогам работы за отчетный год и отчетный пятилетний период (включая руководителей и работников местных исполнительных и распорядительных органов), в размерах, определяемых Советом Министров Республики Беларусь, осуществляется в пределах средств, предусмотренных в республиканском бюджете</w:t>
      </w:r>
      <w:proofErr w:type="gramEnd"/>
      <w:r w:rsidRPr="009543D4">
        <w:rPr>
          <w:rFonts w:ascii="Times New Roman" w:eastAsiaTheme="minorHAnsi" w:hAnsi="Times New Roman"/>
          <w:sz w:val="30"/>
          <w:szCs w:val="30"/>
        </w:rPr>
        <w:t xml:space="preserve"> на эти цели (пункт 4 Указа № 573).</w:t>
      </w:r>
    </w:p>
    <w:p w:rsidR="00DA315D" w:rsidRPr="009543D4" w:rsidRDefault="00DA315D" w:rsidP="008857CC">
      <w:pPr>
        <w:spacing w:after="0" w:line="240" w:lineRule="auto"/>
        <w:ind w:firstLine="709"/>
        <w:jc w:val="both"/>
        <w:rPr>
          <w:rFonts w:ascii="Times New Roman" w:hAnsi="Times New Roman"/>
          <w:i/>
          <w:sz w:val="30"/>
          <w:szCs w:val="30"/>
        </w:rPr>
      </w:pPr>
      <w:r w:rsidRPr="009543D4">
        <w:rPr>
          <w:rFonts w:ascii="Times New Roman" w:hAnsi="Times New Roman"/>
          <w:i/>
          <w:sz w:val="30"/>
          <w:szCs w:val="30"/>
        </w:rPr>
        <w:t>Справочно. По результатам работы за 2021 год принят Указ Президента Республики Беларусь от 26 апреля 2022 г. № 153</w:t>
      </w:r>
      <w:r w:rsidRPr="009543D4">
        <w:rPr>
          <w:rFonts w:ascii="Times New Roman" w:hAnsi="Times New Roman"/>
          <w:i/>
          <w:sz w:val="30"/>
          <w:szCs w:val="30"/>
        </w:rPr>
        <w:br/>
        <w:t>«О занесении на Республиканскую доску Почета победителей соревнования за 2021 год».</w:t>
      </w:r>
    </w:p>
    <w:p w:rsidR="00DA315D" w:rsidRPr="008857CC" w:rsidRDefault="00DA315D" w:rsidP="008857CC">
      <w:pPr>
        <w:pStyle w:val="1"/>
        <w:shd w:val="clear" w:color="auto" w:fill="auto"/>
        <w:ind w:firstLine="740"/>
        <w:rPr>
          <w:lang w:val="ru-RU"/>
        </w:rPr>
      </w:pPr>
      <w:r w:rsidRPr="008857CC">
        <w:rPr>
          <w:color w:val="000000"/>
          <w:lang w:val="ru-RU" w:eastAsia="ru-RU" w:bidi="ru-RU"/>
        </w:rPr>
        <w:t>С 1 января 2022 г. на основании пункта 28</w:t>
      </w:r>
      <w:r w:rsidRPr="008857CC">
        <w:rPr>
          <w:color w:val="000000"/>
          <w:vertAlign w:val="superscript"/>
          <w:lang w:val="ru-RU" w:eastAsia="ru-RU" w:bidi="ru-RU"/>
        </w:rPr>
        <w:t>1</w:t>
      </w:r>
      <w:r w:rsidRPr="008857CC">
        <w:rPr>
          <w:color w:val="000000"/>
          <w:lang w:val="ru-RU" w:eastAsia="ru-RU" w:bidi="ru-RU"/>
        </w:rPr>
        <w:t xml:space="preserve"> статьи 208 Налогового кодекса Республики Беларусь (далее - НК) освобождаются от подоходного налога с физических лиц доходы в денежной и натуральной форме, включая призы, полученные победителями районных, областных, республиканских соревнований, смотров, конкурсов, фестивалей-ярмарок, проектов и других аналогичных мероприятий, в размерах, установленных законодательством.</w:t>
      </w:r>
    </w:p>
    <w:p w:rsidR="00DA315D" w:rsidRPr="008857CC" w:rsidRDefault="00DA315D" w:rsidP="008857CC">
      <w:pPr>
        <w:spacing w:after="0" w:line="240" w:lineRule="auto"/>
        <w:ind w:firstLine="709"/>
        <w:jc w:val="both"/>
        <w:rPr>
          <w:rFonts w:ascii="Times New Roman" w:hAnsi="Times New Roman"/>
          <w:sz w:val="30"/>
          <w:szCs w:val="30"/>
        </w:rPr>
      </w:pPr>
      <w:r w:rsidRPr="008857CC">
        <w:rPr>
          <w:rFonts w:ascii="Times New Roman" w:hAnsi="Times New Roman"/>
          <w:color w:val="000000"/>
          <w:sz w:val="30"/>
          <w:szCs w:val="30"/>
          <w:lang w:eastAsia="ru-RU" w:bidi="ru-RU"/>
        </w:rPr>
        <w:t xml:space="preserve">Принимая во внимание, что Указ № 573 принят в целях поощрения не только административно-территориальных единиц, организаций и филиалов, но и трудовых коллективов за достижение высоких результатов в сфере социально-экономического развития, </w:t>
      </w:r>
      <w:r w:rsidRPr="008857CC">
        <w:rPr>
          <w:rFonts w:ascii="Times New Roman" w:hAnsi="Times New Roman"/>
          <w:sz w:val="30"/>
          <w:szCs w:val="30"/>
        </w:rPr>
        <w:t>Министерство по налогам и сборам</w:t>
      </w:r>
      <w:r w:rsidRPr="008857CC">
        <w:rPr>
          <w:rFonts w:ascii="Times New Roman" w:hAnsi="Times New Roman"/>
          <w:color w:val="000000"/>
          <w:sz w:val="30"/>
          <w:szCs w:val="30"/>
          <w:lang w:eastAsia="ru-RU" w:bidi="ru-RU"/>
        </w:rPr>
        <w:t xml:space="preserve"> высказало позицию, что </w:t>
      </w:r>
      <w:r w:rsidRPr="008857CC">
        <w:rPr>
          <w:rFonts w:ascii="Times New Roman" w:hAnsi="Times New Roman"/>
          <w:b/>
          <w:color w:val="000000"/>
          <w:sz w:val="30"/>
          <w:szCs w:val="30"/>
          <w:lang w:eastAsia="ru-RU" w:bidi="ru-RU"/>
        </w:rPr>
        <w:t>единовременные премии (денежные вознаграждения)</w:t>
      </w:r>
      <w:r w:rsidRPr="008857CC">
        <w:rPr>
          <w:rFonts w:ascii="Times New Roman" w:hAnsi="Times New Roman"/>
          <w:color w:val="000000"/>
          <w:sz w:val="30"/>
          <w:szCs w:val="30"/>
          <w:lang w:eastAsia="ru-RU" w:bidi="ru-RU"/>
        </w:rPr>
        <w:t xml:space="preserve">, выплачиваемые в 2022 году руководителям и работникам местных исполнительных и распорядительных органов, организаций и филиалов за счет денежных средств, выделенных из республиканского бюджета для поощрения победителей соревнования, в размерах, определенных Советом Министров Республики Беларусь, </w:t>
      </w:r>
      <w:r w:rsidRPr="008857CC">
        <w:rPr>
          <w:rFonts w:ascii="Times New Roman" w:hAnsi="Times New Roman"/>
          <w:b/>
          <w:color w:val="000000"/>
          <w:sz w:val="30"/>
          <w:szCs w:val="30"/>
          <w:lang w:eastAsia="ru-RU" w:bidi="ru-RU"/>
        </w:rPr>
        <w:t>подлежат освобождению от подоходного налога с физических лиц на основании пункта 28</w:t>
      </w:r>
      <w:r w:rsidRPr="008857CC">
        <w:rPr>
          <w:rFonts w:ascii="Times New Roman" w:hAnsi="Times New Roman"/>
          <w:b/>
          <w:color w:val="000000"/>
          <w:sz w:val="30"/>
          <w:szCs w:val="30"/>
          <w:vertAlign w:val="superscript"/>
          <w:lang w:eastAsia="ru-RU" w:bidi="ru-RU"/>
        </w:rPr>
        <w:t>1</w:t>
      </w:r>
      <w:r w:rsidRPr="008857CC">
        <w:rPr>
          <w:rFonts w:ascii="Times New Roman" w:hAnsi="Times New Roman"/>
          <w:b/>
          <w:color w:val="000000"/>
          <w:sz w:val="30"/>
          <w:szCs w:val="30"/>
          <w:lang w:eastAsia="ru-RU" w:bidi="ru-RU"/>
        </w:rPr>
        <w:t xml:space="preserve"> статьи 208 НК.</w:t>
      </w:r>
    </w:p>
    <w:p w:rsidR="00DA315D" w:rsidRPr="008857CC" w:rsidRDefault="00DA315D" w:rsidP="008857CC">
      <w:pPr>
        <w:autoSpaceDE w:val="0"/>
        <w:autoSpaceDN w:val="0"/>
        <w:adjustRightInd w:val="0"/>
        <w:spacing w:after="0" w:line="240" w:lineRule="auto"/>
        <w:ind w:firstLine="708"/>
        <w:jc w:val="both"/>
        <w:rPr>
          <w:rFonts w:ascii="Times New Roman" w:eastAsia="Times New Roman" w:hAnsi="Times New Roman"/>
          <w:sz w:val="30"/>
          <w:szCs w:val="30"/>
          <w:lang w:eastAsia="ru-RU"/>
        </w:rPr>
      </w:pPr>
      <w:r w:rsidRPr="008857CC">
        <w:rPr>
          <w:rFonts w:ascii="Times New Roman" w:hAnsi="Times New Roman"/>
          <w:sz w:val="30"/>
          <w:szCs w:val="30"/>
        </w:rPr>
        <w:lastRenderedPageBreak/>
        <w:t>По информации Фонда социальной защиты населения Министерства труда и социальной защиты</w:t>
      </w:r>
      <w:r w:rsidRPr="008857CC">
        <w:rPr>
          <w:rFonts w:ascii="Times New Roman" w:eastAsia="Times New Roman" w:hAnsi="Times New Roman"/>
          <w:sz w:val="30"/>
          <w:szCs w:val="30"/>
          <w:lang w:eastAsia="ru-RU"/>
        </w:rPr>
        <w:t xml:space="preserve"> объектом для начисления обязательных страховых взносов (далее – взносы) для работодателей и работающих граждан являются выплаты всех видов в денежном и (или) натуральном выражении, начисленные в пользу работающих граждан по всем основаниям независимо от источников финансирования, включая вознаграждения по гражданско-правовым договорам, кроме предусмотренных </w:t>
      </w:r>
      <w:hyperlink r:id="rId6" w:history="1">
        <w:r w:rsidRPr="008857CC">
          <w:rPr>
            <w:rFonts w:ascii="Times New Roman" w:eastAsia="Times New Roman" w:hAnsi="Times New Roman"/>
            <w:sz w:val="30"/>
            <w:szCs w:val="30"/>
            <w:lang w:eastAsia="ru-RU"/>
          </w:rPr>
          <w:t>Перечнем</w:t>
        </w:r>
      </w:hyperlink>
      <w:r w:rsidRPr="008857CC">
        <w:rPr>
          <w:rFonts w:ascii="Times New Roman" w:eastAsia="Times New Roman" w:hAnsi="Times New Roman"/>
          <w:sz w:val="30"/>
          <w:szCs w:val="30"/>
          <w:vertAlign w:val="superscript"/>
          <w:lang w:eastAsia="ru-RU"/>
        </w:rPr>
        <w:footnoteReference w:id="1"/>
      </w:r>
      <w:r w:rsidRPr="008857CC">
        <w:rPr>
          <w:rFonts w:ascii="Times New Roman" w:eastAsia="Times New Roman" w:hAnsi="Times New Roman"/>
          <w:sz w:val="30"/>
          <w:szCs w:val="30"/>
          <w:lang w:eastAsia="ru-RU"/>
        </w:rPr>
        <w:t xml:space="preserve">, но не выше пятикратной величины средней заработной </w:t>
      </w:r>
      <w:hyperlink r:id="rId7" w:history="1">
        <w:r w:rsidRPr="008857CC">
          <w:rPr>
            <w:rFonts w:ascii="Times New Roman" w:eastAsia="Times New Roman" w:hAnsi="Times New Roman"/>
            <w:sz w:val="30"/>
            <w:szCs w:val="30"/>
            <w:lang w:eastAsia="ru-RU"/>
          </w:rPr>
          <w:t>платы</w:t>
        </w:r>
      </w:hyperlink>
      <w:r w:rsidRPr="008857CC">
        <w:rPr>
          <w:rFonts w:ascii="Times New Roman" w:eastAsia="Times New Roman" w:hAnsi="Times New Roman"/>
          <w:sz w:val="30"/>
          <w:szCs w:val="30"/>
          <w:lang w:eastAsia="ru-RU"/>
        </w:rPr>
        <w:t xml:space="preserve"> работников в республике за месяц, предшествующий месяцу, за который уплачиваются взносы, если </w:t>
      </w:r>
      <w:hyperlink r:id="rId8" w:history="1">
        <w:r w:rsidRPr="008857CC">
          <w:rPr>
            <w:rFonts w:ascii="Times New Roman" w:eastAsia="Times New Roman" w:hAnsi="Times New Roman"/>
            <w:sz w:val="30"/>
            <w:szCs w:val="30"/>
            <w:lang w:eastAsia="ru-RU"/>
          </w:rPr>
          <w:t>иное</w:t>
        </w:r>
      </w:hyperlink>
      <w:r w:rsidRPr="008857CC">
        <w:rPr>
          <w:rFonts w:ascii="Times New Roman" w:eastAsia="Times New Roman" w:hAnsi="Times New Roman"/>
          <w:sz w:val="30"/>
          <w:szCs w:val="30"/>
          <w:lang w:eastAsia="ru-RU"/>
        </w:rPr>
        <w:t xml:space="preserve"> не установлено Президентом Республики Беларусь</w:t>
      </w:r>
      <w:r w:rsidRPr="008857CC">
        <w:rPr>
          <w:rFonts w:ascii="Times New Roman" w:eastAsia="Times New Roman" w:hAnsi="Times New Roman"/>
          <w:sz w:val="30"/>
          <w:szCs w:val="30"/>
          <w:vertAlign w:val="superscript"/>
          <w:lang w:eastAsia="ru-RU"/>
        </w:rPr>
        <w:footnoteReference w:id="2"/>
      </w:r>
      <w:r w:rsidRPr="008857CC">
        <w:rPr>
          <w:rFonts w:ascii="Times New Roman" w:eastAsia="Times New Roman" w:hAnsi="Times New Roman"/>
          <w:sz w:val="30"/>
          <w:szCs w:val="30"/>
          <w:lang w:eastAsia="ru-RU"/>
        </w:rPr>
        <w:t>.</w:t>
      </w:r>
    </w:p>
    <w:p w:rsidR="00DA315D" w:rsidRPr="008857CC" w:rsidRDefault="00DA315D" w:rsidP="008857CC">
      <w:pPr>
        <w:autoSpaceDE w:val="0"/>
        <w:autoSpaceDN w:val="0"/>
        <w:adjustRightInd w:val="0"/>
        <w:spacing w:after="0" w:line="240" w:lineRule="auto"/>
        <w:ind w:firstLine="708"/>
        <w:jc w:val="both"/>
        <w:rPr>
          <w:rFonts w:ascii="Times New Roman" w:eastAsia="Times New Roman" w:hAnsi="Times New Roman"/>
          <w:sz w:val="30"/>
          <w:szCs w:val="30"/>
          <w:lang w:eastAsia="ru-RU"/>
        </w:rPr>
      </w:pPr>
      <w:r w:rsidRPr="008857CC">
        <w:rPr>
          <w:rFonts w:ascii="Times New Roman" w:hAnsi="Times New Roman"/>
          <w:sz w:val="30"/>
          <w:szCs w:val="30"/>
        </w:rPr>
        <w:t xml:space="preserve">Пунктом 17 указанного Перечня определено, что взносы в бюджет государственного внебюджетного фонда социальной защиты населения Республики Беларусь не начисляются на </w:t>
      </w:r>
      <w:r w:rsidRPr="008857CC">
        <w:rPr>
          <w:rFonts w:ascii="Times New Roman" w:eastAsia="Times New Roman" w:hAnsi="Times New Roman"/>
          <w:sz w:val="30"/>
          <w:szCs w:val="30"/>
          <w:lang w:eastAsia="ru-RU"/>
        </w:rPr>
        <w:t xml:space="preserve">денежные суммы и призы, полученные победителями районных, областных, республиканских соревнований, смотров, </w:t>
      </w:r>
      <w:r w:rsidRPr="008857CC">
        <w:rPr>
          <w:rFonts w:ascii="Times New Roman" w:hAnsi="Times New Roman"/>
          <w:sz w:val="30"/>
          <w:szCs w:val="30"/>
        </w:rPr>
        <w:t>конкурсов</w:t>
      </w:r>
      <w:r w:rsidRPr="008857CC">
        <w:rPr>
          <w:rFonts w:ascii="Times New Roman" w:eastAsia="Times New Roman" w:hAnsi="Times New Roman"/>
          <w:sz w:val="30"/>
          <w:szCs w:val="30"/>
          <w:lang w:eastAsia="ru-RU"/>
        </w:rPr>
        <w:t xml:space="preserve">, фестивалей-ярмарок, проектов </w:t>
      </w:r>
      <w:r w:rsidRPr="008857CC">
        <w:rPr>
          <w:rFonts w:ascii="Times New Roman" w:eastAsia="Times New Roman" w:hAnsi="Times New Roman"/>
          <w:sz w:val="30"/>
          <w:szCs w:val="30"/>
          <w:lang w:eastAsia="ru-RU"/>
        </w:rPr>
        <w:br/>
        <w:t>и других аналогичных мероприятий, в размерах, установленных законодательством.</w:t>
      </w:r>
    </w:p>
    <w:p w:rsidR="00DA315D" w:rsidRPr="00FD1D0F" w:rsidRDefault="00DA315D" w:rsidP="008857CC">
      <w:pPr>
        <w:autoSpaceDE w:val="0"/>
        <w:autoSpaceDN w:val="0"/>
        <w:adjustRightInd w:val="0"/>
        <w:spacing w:after="0" w:line="240" w:lineRule="auto"/>
        <w:ind w:firstLine="709"/>
        <w:jc w:val="both"/>
        <w:rPr>
          <w:rFonts w:ascii="Times New Roman" w:hAnsi="Times New Roman"/>
          <w:b/>
          <w:sz w:val="30"/>
          <w:szCs w:val="30"/>
        </w:rPr>
      </w:pPr>
      <w:proofErr w:type="gramStart"/>
      <w:r>
        <w:rPr>
          <w:rFonts w:ascii="Times New Roman" w:hAnsi="Times New Roman"/>
          <w:sz w:val="30"/>
          <w:szCs w:val="30"/>
        </w:rPr>
        <w:t>Согласно</w:t>
      </w:r>
      <w:r w:rsidRPr="009543D4">
        <w:rPr>
          <w:rFonts w:ascii="Times New Roman" w:hAnsi="Times New Roman"/>
          <w:sz w:val="30"/>
          <w:szCs w:val="30"/>
        </w:rPr>
        <w:t xml:space="preserve"> разъяснениям Фонда социальной защиты населения Министерства труда и социальной защиты</w:t>
      </w:r>
      <w:r w:rsidRPr="009543D4">
        <w:rPr>
          <w:rFonts w:ascii="Times New Roman" w:eastAsia="Times New Roman" w:hAnsi="Times New Roman"/>
          <w:sz w:val="30"/>
          <w:szCs w:val="30"/>
          <w:lang w:eastAsia="ru-RU"/>
        </w:rPr>
        <w:t xml:space="preserve"> </w:t>
      </w:r>
      <w:r w:rsidRPr="009543D4">
        <w:rPr>
          <w:rFonts w:ascii="Times New Roman" w:eastAsia="Times New Roman" w:hAnsi="Times New Roman"/>
          <w:b/>
          <w:sz w:val="30"/>
          <w:szCs w:val="30"/>
          <w:lang w:eastAsia="ru-RU"/>
        </w:rPr>
        <w:t xml:space="preserve">данный пункт </w:t>
      </w:r>
      <w:r w:rsidRPr="009543D4">
        <w:rPr>
          <w:rFonts w:ascii="Times New Roman" w:hAnsi="Times New Roman"/>
          <w:b/>
          <w:sz w:val="30"/>
          <w:szCs w:val="30"/>
        </w:rPr>
        <w:t>распространяется на выплату работникам победителей Республиканской доски почета единовременных премий (денежных вознаграждений)</w:t>
      </w:r>
      <w:r w:rsidRPr="009543D4">
        <w:rPr>
          <w:rFonts w:ascii="Times New Roman" w:hAnsi="Times New Roman"/>
          <w:sz w:val="30"/>
          <w:szCs w:val="30"/>
        </w:rPr>
        <w:t xml:space="preserve">, </w:t>
      </w:r>
      <w:r w:rsidRPr="00FD1D0F">
        <w:rPr>
          <w:rFonts w:ascii="Times New Roman" w:hAnsi="Times New Roman"/>
          <w:b/>
          <w:sz w:val="30"/>
          <w:szCs w:val="30"/>
        </w:rPr>
        <w:t>не превышающих рекомендуемый постановлением Совета Министров Республики Беларусь размер, из выделенных на эти цели средств республиканского бюджета.</w:t>
      </w:r>
      <w:proofErr w:type="gramEnd"/>
    </w:p>
    <w:p w:rsidR="00DA315D" w:rsidRPr="00A82A40" w:rsidRDefault="00DA315D" w:rsidP="008857CC">
      <w:pPr>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 xml:space="preserve">При решении </w:t>
      </w:r>
      <w:r w:rsidRPr="00A82A40">
        <w:rPr>
          <w:rFonts w:ascii="Times New Roman" w:hAnsi="Times New Roman"/>
          <w:sz w:val="30"/>
          <w:szCs w:val="30"/>
        </w:rPr>
        <w:t>руководител</w:t>
      </w:r>
      <w:r>
        <w:rPr>
          <w:rFonts w:ascii="Times New Roman" w:hAnsi="Times New Roman"/>
          <w:sz w:val="30"/>
          <w:szCs w:val="30"/>
        </w:rPr>
        <w:t>ей</w:t>
      </w:r>
      <w:r w:rsidRPr="00A82A40">
        <w:rPr>
          <w:rFonts w:ascii="Times New Roman" w:hAnsi="Times New Roman"/>
          <w:sz w:val="30"/>
          <w:szCs w:val="30"/>
        </w:rPr>
        <w:t xml:space="preserve"> организаций, филиалов, занесенных на Республиканскую доску Почета, премировать за счет прибыли, оставшейся в распоряжении после уплаты налогов, сборов и иных обязательных платежей</w:t>
      </w:r>
      <w:r>
        <w:rPr>
          <w:rFonts w:ascii="Times New Roman" w:hAnsi="Times New Roman"/>
          <w:sz w:val="30"/>
          <w:szCs w:val="30"/>
        </w:rPr>
        <w:t xml:space="preserve"> </w:t>
      </w:r>
      <w:r w:rsidRPr="00A82A40">
        <w:rPr>
          <w:rFonts w:ascii="Times New Roman" w:hAnsi="Times New Roman"/>
          <w:sz w:val="30"/>
          <w:szCs w:val="30"/>
        </w:rPr>
        <w:t>в республиканский и местные бюджеты, в том числе государственные целевые бюджетные фонды, а также в бюджеты государственных внебюджетных фондов, работников в зависимости от их личного вклада в достижение высоких результатов труда, способствовавших победе в соревновании</w:t>
      </w:r>
      <w:r>
        <w:rPr>
          <w:rFonts w:ascii="Times New Roman" w:hAnsi="Times New Roman"/>
          <w:sz w:val="30"/>
          <w:szCs w:val="30"/>
        </w:rPr>
        <w:t>, с</w:t>
      </w:r>
      <w:r w:rsidRPr="00A82A40">
        <w:rPr>
          <w:rFonts w:ascii="Times New Roman" w:hAnsi="Times New Roman"/>
          <w:sz w:val="30"/>
          <w:szCs w:val="30"/>
        </w:rPr>
        <w:t xml:space="preserve">уммы таких премий будут </w:t>
      </w:r>
      <w:r w:rsidRPr="00A82A40">
        <w:rPr>
          <w:rFonts w:ascii="Times New Roman" w:hAnsi="Times New Roman"/>
          <w:sz w:val="30"/>
          <w:szCs w:val="30"/>
        </w:rPr>
        <w:lastRenderedPageBreak/>
        <w:t>являться объектом для начисления взносов в бюджет фонда в общеустановленном порядке.</w:t>
      </w:r>
    </w:p>
    <w:p w:rsidR="001635D4" w:rsidRDefault="001635D4"/>
    <w:sectPr w:rsidR="001635D4" w:rsidSect="00AC4871">
      <w:pgSz w:w="12240" w:h="15840"/>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47C6" w:rsidRDefault="007847C6" w:rsidP="00DA315D">
      <w:pPr>
        <w:spacing w:after="0" w:line="240" w:lineRule="auto"/>
      </w:pPr>
      <w:r>
        <w:separator/>
      </w:r>
    </w:p>
  </w:endnote>
  <w:endnote w:type="continuationSeparator" w:id="0">
    <w:p w:rsidR="007847C6" w:rsidRDefault="007847C6" w:rsidP="00DA31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47C6" w:rsidRDefault="007847C6" w:rsidP="00DA315D">
      <w:pPr>
        <w:spacing w:after="0" w:line="240" w:lineRule="auto"/>
      </w:pPr>
      <w:r>
        <w:separator/>
      </w:r>
    </w:p>
  </w:footnote>
  <w:footnote w:type="continuationSeparator" w:id="0">
    <w:p w:rsidR="007847C6" w:rsidRDefault="007847C6" w:rsidP="00DA315D">
      <w:pPr>
        <w:spacing w:after="0" w:line="240" w:lineRule="auto"/>
      </w:pPr>
      <w:r>
        <w:continuationSeparator/>
      </w:r>
    </w:p>
  </w:footnote>
  <w:footnote w:id="1">
    <w:p w:rsidR="00DA315D" w:rsidRDefault="00DA315D" w:rsidP="00DA315D">
      <w:pPr>
        <w:pStyle w:val="a4"/>
        <w:ind w:firstLine="567"/>
        <w:jc w:val="both"/>
      </w:pPr>
      <w:r>
        <w:rPr>
          <w:rStyle w:val="a6"/>
        </w:rPr>
        <w:footnoteRef/>
      </w:r>
      <w:r>
        <w:t xml:space="preserve"> </w:t>
      </w:r>
      <w:r>
        <w:rPr>
          <w:rFonts w:eastAsia="Calibri"/>
          <w:sz w:val="18"/>
          <w:szCs w:val="18"/>
          <w:lang w:eastAsia="en-US"/>
        </w:rPr>
        <w:t>П</w:t>
      </w:r>
      <w:r w:rsidRPr="000F060D">
        <w:rPr>
          <w:rFonts w:eastAsia="Calibri"/>
          <w:sz w:val="18"/>
          <w:szCs w:val="18"/>
          <w:lang w:eastAsia="en-US"/>
        </w:rPr>
        <w:t xml:space="preserve">еречень </w:t>
      </w:r>
      <w:r w:rsidRPr="000F060D">
        <w:rPr>
          <w:sz w:val="18"/>
          <w:szCs w:val="18"/>
        </w:rPr>
        <w:t xml:space="preserve">выплат, на которые не начисляются взносы на государственное социальное страхование, в том числе </w:t>
      </w:r>
      <w:r w:rsidRPr="000F060D">
        <w:rPr>
          <w:sz w:val="18"/>
          <w:szCs w:val="18"/>
        </w:rPr>
        <w:br/>
        <w:t>на профессиональное пенсионное страхование, в бюджет государственного внебюджетного фонда социальной защиты населения Республики Беларусь и по обязательному страхованию от несчастных случаев на производстве и профессиональных заболеваний в Белорусское республиканское унитарное страховое предприятие «</w:t>
      </w:r>
      <w:proofErr w:type="spellStart"/>
      <w:r w:rsidRPr="000F060D">
        <w:rPr>
          <w:sz w:val="18"/>
          <w:szCs w:val="18"/>
        </w:rPr>
        <w:t>Белгосстрах</w:t>
      </w:r>
      <w:proofErr w:type="spellEnd"/>
      <w:r w:rsidRPr="000F060D">
        <w:rPr>
          <w:sz w:val="18"/>
          <w:szCs w:val="18"/>
        </w:rPr>
        <w:t>», утвержденный постановлением Совета Министров Республики Беларусь от 25</w:t>
      </w:r>
      <w:r>
        <w:rPr>
          <w:sz w:val="18"/>
          <w:szCs w:val="18"/>
        </w:rPr>
        <w:t xml:space="preserve"> января </w:t>
      </w:r>
      <w:r w:rsidRPr="000F060D">
        <w:rPr>
          <w:sz w:val="18"/>
          <w:szCs w:val="18"/>
        </w:rPr>
        <w:t>1999</w:t>
      </w:r>
      <w:r>
        <w:rPr>
          <w:sz w:val="18"/>
          <w:szCs w:val="18"/>
        </w:rPr>
        <w:t xml:space="preserve"> г.</w:t>
      </w:r>
      <w:r w:rsidRPr="000F060D">
        <w:rPr>
          <w:sz w:val="18"/>
          <w:szCs w:val="18"/>
        </w:rPr>
        <w:t xml:space="preserve"> № 115</w:t>
      </w:r>
      <w:r>
        <w:rPr>
          <w:sz w:val="18"/>
          <w:szCs w:val="18"/>
        </w:rPr>
        <w:t xml:space="preserve"> (в</w:t>
      </w:r>
      <w:r w:rsidRPr="00137D1B">
        <w:rPr>
          <w:sz w:val="18"/>
          <w:szCs w:val="18"/>
        </w:rPr>
        <w:t xml:space="preserve"> ред</w:t>
      </w:r>
      <w:r>
        <w:rPr>
          <w:sz w:val="18"/>
          <w:szCs w:val="18"/>
        </w:rPr>
        <w:t>.</w:t>
      </w:r>
      <w:r w:rsidRPr="00137D1B">
        <w:rPr>
          <w:sz w:val="18"/>
          <w:szCs w:val="18"/>
        </w:rPr>
        <w:t xml:space="preserve"> постановления Совета Министров Республики Беларусь от 28</w:t>
      </w:r>
      <w:r>
        <w:rPr>
          <w:sz w:val="18"/>
          <w:szCs w:val="18"/>
        </w:rPr>
        <w:t xml:space="preserve"> декабря </w:t>
      </w:r>
      <w:r w:rsidRPr="00137D1B">
        <w:rPr>
          <w:sz w:val="18"/>
          <w:szCs w:val="18"/>
        </w:rPr>
        <w:t>2021</w:t>
      </w:r>
      <w:r>
        <w:rPr>
          <w:sz w:val="18"/>
          <w:szCs w:val="18"/>
        </w:rPr>
        <w:t xml:space="preserve"> г.</w:t>
      </w:r>
      <w:r w:rsidRPr="00137D1B">
        <w:rPr>
          <w:sz w:val="18"/>
          <w:szCs w:val="18"/>
        </w:rPr>
        <w:t xml:space="preserve"> № 763</w:t>
      </w:r>
      <w:r>
        <w:rPr>
          <w:sz w:val="18"/>
          <w:szCs w:val="18"/>
        </w:rPr>
        <w:t>).</w:t>
      </w:r>
    </w:p>
  </w:footnote>
  <w:footnote w:id="2">
    <w:p w:rsidR="00DA315D" w:rsidRDefault="00DA315D" w:rsidP="00DA315D">
      <w:pPr>
        <w:pStyle w:val="a4"/>
        <w:ind w:firstLine="567"/>
        <w:jc w:val="both"/>
      </w:pPr>
      <w:r>
        <w:rPr>
          <w:rStyle w:val="a6"/>
        </w:rPr>
        <w:footnoteRef/>
      </w:r>
      <w:r>
        <w:t xml:space="preserve"> </w:t>
      </w:r>
      <w:r w:rsidRPr="00F22B7C">
        <w:rPr>
          <w:sz w:val="18"/>
          <w:szCs w:val="18"/>
        </w:rPr>
        <w:t>Пункт 1 статьи 4 Закона Республики Беларусь от 15</w:t>
      </w:r>
      <w:r>
        <w:rPr>
          <w:sz w:val="18"/>
          <w:szCs w:val="18"/>
        </w:rPr>
        <w:t xml:space="preserve"> июля </w:t>
      </w:r>
      <w:r w:rsidRPr="00F22B7C">
        <w:rPr>
          <w:sz w:val="18"/>
          <w:szCs w:val="18"/>
        </w:rPr>
        <w:t>2021</w:t>
      </w:r>
      <w:r>
        <w:rPr>
          <w:sz w:val="18"/>
          <w:szCs w:val="18"/>
        </w:rPr>
        <w:t xml:space="preserve"> г.</w:t>
      </w:r>
      <w:r w:rsidRPr="00F22B7C">
        <w:rPr>
          <w:sz w:val="18"/>
          <w:szCs w:val="18"/>
        </w:rPr>
        <w:t xml:space="preserve"> № 118-З «О взносах в бюджет государственного внебюджетного фонда социальной защиты населения Республики Беларусь»</w:t>
      </w:r>
      <w:r>
        <w:rPr>
          <w:sz w:val="18"/>
          <w:szCs w:val="18"/>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75848"/>
    <w:rsid w:val="001635D4"/>
    <w:rsid w:val="00375848"/>
    <w:rsid w:val="00566F08"/>
    <w:rsid w:val="005A67F7"/>
    <w:rsid w:val="00754D7C"/>
    <w:rsid w:val="007847C6"/>
    <w:rsid w:val="008857CC"/>
    <w:rsid w:val="00AC4871"/>
    <w:rsid w:val="00DA315D"/>
    <w:rsid w:val="00FD40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15D"/>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DA315D"/>
    <w:rPr>
      <w:rFonts w:ascii="Times New Roman" w:eastAsia="Times New Roman" w:hAnsi="Times New Roman" w:cs="Times New Roman"/>
      <w:sz w:val="30"/>
      <w:szCs w:val="30"/>
      <w:shd w:val="clear" w:color="auto" w:fill="FFFFFF"/>
    </w:rPr>
  </w:style>
  <w:style w:type="paragraph" w:customStyle="1" w:styleId="1">
    <w:name w:val="Основной текст1"/>
    <w:basedOn w:val="a"/>
    <w:link w:val="a3"/>
    <w:rsid w:val="00DA315D"/>
    <w:pPr>
      <w:widowControl w:val="0"/>
      <w:shd w:val="clear" w:color="auto" w:fill="FFFFFF"/>
      <w:spacing w:after="0" w:line="240" w:lineRule="auto"/>
      <w:ind w:firstLine="400"/>
      <w:jc w:val="both"/>
    </w:pPr>
    <w:rPr>
      <w:rFonts w:ascii="Times New Roman" w:eastAsia="Times New Roman" w:hAnsi="Times New Roman"/>
      <w:sz w:val="30"/>
      <w:szCs w:val="30"/>
      <w:lang w:val="en-US"/>
    </w:rPr>
  </w:style>
  <w:style w:type="paragraph" w:styleId="a4">
    <w:name w:val="footnote text"/>
    <w:aliases w:val="Текст сноски Знак Знак Знак Знак,Текст сноски Знак Знак Знак Знак Знак Знак,Текст сноски Знак Знак Знак Char Char,Текст сноски Знак Знак Знак Char,Текст сноски Знак Знак Знак Char Char Char,Текст сноски-FN"/>
    <w:basedOn w:val="a"/>
    <w:link w:val="a5"/>
    <w:rsid w:val="00DA315D"/>
    <w:pPr>
      <w:spacing w:after="0" w:line="240" w:lineRule="auto"/>
    </w:pPr>
    <w:rPr>
      <w:rFonts w:ascii="Times New Roman" w:eastAsia="Times New Roman" w:hAnsi="Times New Roman"/>
      <w:sz w:val="20"/>
      <w:szCs w:val="20"/>
      <w:lang w:eastAsia="ru-RU"/>
    </w:rPr>
  </w:style>
  <w:style w:type="character" w:customStyle="1" w:styleId="a5">
    <w:name w:val="Текст сноски Знак"/>
    <w:aliases w:val="Текст сноски Знак Знак Знак Знак Знак,Текст сноски Знак Знак Знак Знак Знак Знак Знак,Текст сноски Знак Знак Знак Char Char Знак,Текст сноски Знак Знак Знак Char Знак,Текст сноски Знак Знак Знак Char Char Char Знак,Текст сноски-FN Знак"/>
    <w:basedOn w:val="a0"/>
    <w:link w:val="a4"/>
    <w:rsid w:val="00DA315D"/>
    <w:rPr>
      <w:rFonts w:ascii="Times New Roman" w:eastAsia="Times New Roman" w:hAnsi="Times New Roman" w:cs="Times New Roman"/>
      <w:sz w:val="20"/>
      <w:szCs w:val="20"/>
      <w:lang w:val="ru-RU" w:eastAsia="ru-RU"/>
    </w:rPr>
  </w:style>
  <w:style w:type="character" w:styleId="a6">
    <w:name w:val="footnote reference"/>
    <w:uiPriority w:val="99"/>
    <w:rsid w:val="00DA315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15D"/>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DA315D"/>
    <w:rPr>
      <w:rFonts w:ascii="Times New Roman" w:eastAsia="Times New Roman" w:hAnsi="Times New Roman" w:cs="Times New Roman"/>
      <w:sz w:val="30"/>
      <w:szCs w:val="30"/>
      <w:shd w:val="clear" w:color="auto" w:fill="FFFFFF"/>
    </w:rPr>
  </w:style>
  <w:style w:type="paragraph" w:customStyle="1" w:styleId="1">
    <w:name w:val="Основной текст1"/>
    <w:basedOn w:val="a"/>
    <w:link w:val="a3"/>
    <w:rsid w:val="00DA315D"/>
    <w:pPr>
      <w:widowControl w:val="0"/>
      <w:shd w:val="clear" w:color="auto" w:fill="FFFFFF"/>
      <w:spacing w:after="0" w:line="240" w:lineRule="auto"/>
      <w:ind w:firstLine="400"/>
      <w:jc w:val="both"/>
    </w:pPr>
    <w:rPr>
      <w:rFonts w:ascii="Times New Roman" w:eastAsia="Times New Roman" w:hAnsi="Times New Roman"/>
      <w:sz w:val="30"/>
      <w:szCs w:val="30"/>
      <w:lang w:val="en-US"/>
    </w:rPr>
  </w:style>
  <w:style w:type="paragraph" w:styleId="a4">
    <w:name w:val="footnote text"/>
    <w:aliases w:val="Текст сноски Знак Знак Знак Знак,Текст сноски Знак Знак Знак Знак Знак Знак,Текст сноски Знак Знак Знак Char Char,Текст сноски Знак Знак Знак Char,Текст сноски Знак Знак Знак Char Char Char,Текст сноски-FN"/>
    <w:basedOn w:val="a"/>
    <w:link w:val="a5"/>
    <w:rsid w:val="00DA315D"/>
    <w:pPr>
      <w:spacing w:after="0" w:line="240" w:lineRule="auto"/>
    </w:pPr>
    <w:rPr>
      <w:rFonts w:ascii="Times New Roman" w:eastAsia="Times New Roman" w:hAnsi="Times New Roman"/>
      <w:sz w:val="20"/>
      <w:szCs w:val="20"/>
      <w:lang w:eastAsia="ru-RU"/>
    </w:rPr>
  </w:style>
  <w:style w:type="character" w:customStyle="1" w:styleId="a5">
    <w:name w:val="Текст сноски Знак"/>
    <w:aliases w:val="Текст сноски Знак Знак Знак Знак Знак,Текст сноски Знак Знак Знак Знак Знак Знак Знак,Текст сноски Знак Знак Знак Char Char Знак,Текст сноски Знак Знак Знак Char Знак,Текст сноски Знак Знак Знак Char Char Char Знак,Текст сноски-FN Знак"/>
    <w:basedOn w:val="a0"/>
    <w:link w:val="a4"/>
    <w:rsid w:val="00DA315D"/>
    <w:rPr>
      <w:rFonts w:ascii="Times New Roman" w:eastAsia="Times New Roman" w:hAnsi="Times New Roman" w:cs="Times New Roman"/>
      <w:sz w:val="20"/>
      <w:szCs w:val="20"/>
      <w:lang w:val="ru-RU" w:eastAsia="ru-RU"/>
    </w:rPr>
  </w:style>
  <w:style w:type="character" w:styleId="a6">
    <w:name w:val="footnote reference"/>
    <w:uiPriority w:val="99"/>
    <w:rsid w:val="00DA315D"/>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60DBCC51774CA3D1EBF610148AFA7506DC9E795AA56C62C58D3A373D391A500BAE15E19694C17EEDE1F02F2881EEAC42D29D5554004904D1F8DA2F93M1M0H" TargetMode="External"/><Relationship Id="rId3" Type="http://schemas.openxmlformats.org/officeDocument/2006/relationships/webSettings" Target="webSettings.xml"/><Relationship Id="rId7" Type="http://schemas.openxmlformats.org/officeDocument/2006/relationships/hyperlink" Target="consultantplus://offline/ref=8B60DBCC51774CA3D1EBF610148AFA7506DC9E795AA56766C28A38373D391A500BAE15E19694C17EEDE1F02A2D87EEAC42D29D5554004904D1F8DA2F93M1M0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B60DBCC51774CA3D1EBF610148AFA7506DC9E795AA56C63C88F3A373D391A500BAE15E19694C17EEDE1F02B2E84EEAC42D29D5554004904D1F8DA2F93M1M0H" TargetMode="Externa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706</Words>
  <Characters>4027</Characters>
  <Application>Microsoft Office Word</Application>
  <DocSecurity>0</DocSecurity>
  <Lines>33</Lines>
  <Paragraphs>9</Paragraphs>
  <ScaleCrop>false</ScaleCrop>
  <Company>HP Inc.</Company>
  <LinksUpToDate>false</LinksUpToDate>
  <CharactersWithSpaces>4724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Уткина Елена Извольевна</dc:creator>
  <cp:lastModifiedBy>User</cp:lastModifiedBy>
  <cp:revision>2</cp:revision>
  <dcterms:created xsi:type="dcterms:W3CDTF">2022-07-25T05:40:00Z</dcterms:created>
  <dcterms:modified xsi:type="dcterms:W3CDTF">2022-07-25T05:40:00Z</dcterms:modified>
</cp:coreProperties>
</file>